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8E8EB4" w14:textId="77777777" w:rsidR="00CB0F61" w:rsidRDefault="0084011A">
      <w:pPr>
        <w:spacing w:after="80"/>
      </w:pPr>
      <w:r>
        <w:rPr>
          <w:b/>
          <w:bCs/>
          <w:caps/>
          <w:color w:val="888888"/>
          <w:sz w:val="20"/>
          <w:szCs w:val="20"/>
        </w:rPr>
        <w:t>MOLECULAR DIGITAL PRODUCT PASSPORT PROJECT</w:t>
      </w:r>
    </w:p>
    <w:p w14:paraId="5F8E8EB5" w14:textId="77777777" w:rsidR="00CB0F61" w:rsidRDefault="0084011A">
      <w:pPr>
        <w:spacing w:after="160"/>
      </w:pPr>
      <w:r>
        <w:rPr>
          <w:b/>
          <w:bCs/>
          <w:color w:val="1F4E79"/>
          <w:sz w:val="52"/>
          <w:szCs w:val="52"/>
        </w:rPr>
        <w:t>DPP Requirement Report</w:t>
      </w:r>
    </w:p>
    <w:p w14:paraId="5F8E8EB6" w14:textId="77777777" w:rsidR="00CB0F61" w:rsidRDefault="0084011A">
      <w:pPr>
        <w:spacing w:after="360"/>
      </w:pPr>
      <w:r>
        <w:rPr>
          <w:i/>
          <w:iCs/>
          <w:color w:val="444444"/>
          <w:sz w:val="28"/>
          <w:szCs w:val="28"/>
        </w:rPr>
        <w:t>Compliance and Implementation Strategies for the Textile Sector</w:t>
      </w:r>
    </w:p>
    <w:p w14:paraId="5F8E8EB7" w14:textId="77777777" w:rsidR="00CB0F61" w:rsidRDefault="0084011A">
      <w:pPr>
        <w:spacing w:after="80"/>
      </w:pPr>
      <w:r>
        <w:rPr>
          <w:b/>
          <w:bCs/>
          <w:color w:val="1F4E79"/>
        </w:rPr>
        <w:t>WP1 Deliverable M6</w:t>
      </w:r>
    </w:p>
    <w:p w14:paraId="5F8E8EB8" w14:textId="77777777" w:rsidR="00CB0F61" w:rsidRDefault="0084011A">
      <w:pPr>
        <w:spacing w:after="80"/>
      </w:pPr>
      <w:r>
        <w:rPr>
          <w:color w:val="444444"/>
        </w:rPr>
        <w:t>Fashion Research &amp; Technology — Amsterdam University of Applied Sciences (HvA)</w:t>
      </w:r>
    </w:p>
    <w:p w14:paraId="5F8E8EB9" w14:textId="77777777" w:rsidR="00CB0F61" w:rsidRDefault="0084011A">
      <w:pPr>
        <w:spacing w:after="80"/>
      </w:pPr>
      <w:r>
        <w:rPr>
          <w:i/>
          <w:iCs/>
          <w:color w:val="666666"/>
          <w:sz w:val="20"/>
          <w:szCs w:val="20"/>
        </w:rPr>
        <w:t>Funded by Regieorgaan SIA under the national research programme Digitale productpaspoorten: toepassing in de praktijk</w:t>
      </w:r>
    </w:p>
    <w:p w14:paraId="5F8E8EBA" w14:textId="77777777" w:rsidR="00CB0F61" w:rsidRDefault="0084011A">
      <w:pPr>
        <w:spacing w:after="360"/>
      </w:pPr>
      <w:r>
        <w:rPr>
          <w:b/>
          <w:bCs/>
          <w:color w:val="444444"/>
        </w:rPr>
        <w:t>2026</w:t>
      </w:r>
    </w:p>
    <w:p w14:paraId="5F8E8EBB" w14:textId="77777777" w:rsidR="00CB0F61" w:rsidRDefault="00CB0F61">
      <w:pPr>
        <w:pBdr>
          <w:bottom w:val="single" w:sz="2" w:space="1" w:color="AAAAAA"/>
        </w:pBdr>
        <w:spacing w:before="20" w:after="20"/>
      </w:pPr>
    </w:p>
    <w:p w14:paraId="5F8E8EBC" w14:textId="77777777" w:rsidR="00CB0F61" w:rsidRDefault="00CB0F61">
      <w:pPr>
        <w:spacing w:before="40" w:after="40"/>
      </w:pPr>
    </w:p>
    <w:p w14:paraId="5F8E8EBD" w14:textId="77777777" w:rsidR="00CB0F61" w:rsidRDefault="0084011A">
      <w:pPr>
        <w:pBdr>
          <w:top w:val="single" w:sz="4" w:space="0" w:color="F0C000"/>
          <w:left w:val="thick" w:sz="8" w:space="6" w:color="F0C000"/>
          <w:bottom w:val="single" w:sz="4" w:space="0" w:color="F0C000"/>
          <w:right w:val="single" w:sz="4" w:space="0" w:color="F0C000"/>
        </w:pBdr>
        <w:shd w:val="clear" w:color="auto" w:fill="FFF2CC"/>
        <w:spacing w:before="80" w:after="80"/>
      </w:pPr>
      <w:r>
        <w:rPr>
          <w:b/>
          <w:bCs/>
          <w:color w:val="7F6000"/>
          <w:sz w:val="20"/>
          <w:szCs w:val="20"/>
        </w:rPr>
        <w:t xml:space="preserve">Status:  </w:t>
      </w:r>
      <w:r>
        <w:rPr>
          <w:i/>
          <w:iCs/>
          <w:color w:val="7F6000"/>
          <w:sz w:val="20"/>
          <w:szCs w:val="20"/>
        </w:rPr>
        <w:t>This is the final WP1 deliverable. All six sections and the technical annex are complete, and the Delphi consultation is reported in full across its three rounds. The conclusions are drawn on the evidence available at the time of writing. Three inputs remain genuinely future and are expected to refine, not overturn, these conclusions: WP2 milestone reporting on the molecular confidence-score methodology and per-sample throughput and cost; WP4 pilot findings on the declared-versus-evidenced gap in live use; and the first CEN/CENELEC JTC 24 publications alongside the textile delegated act, which will settle the technical-standard, credential-governance and access-rights detail that this report specifies at the level of design targets. These forward-looking items are flagged in context where they arise.</w:t>
      </w:r>
    </w:p>
    <w:p w14:paraId="48DC82F2" w14:textId="77777777" w:rsidR="009C2FB6" w:rsidRDefault="009C2FB6">
      <w:pPr>
        <w:pStyle w:val="TOC1"/>
        <w:tabs>
          <w:tab w:val="right" w:leader="dot" w:pos="8656"/>
        </w:tabs>
      </w:pPr>
    </w:p>
    <w:sdt>
      <w:sdtPr>
        <w:alias w:val="Contents"/>
        <w:id w:val="1688410348"/>
      </w:sdtPr>
      <w:sdtEndPr/>
      <w:sdtContent>
        <w:p w14:paraId="67E5069B" w14:textId="696B362C" w:rsidR="00AF4301" w:rsidRDefault="0084011A">
          <w:pPr>
            <w:pStyle w:val="TOC1"/>
            <w:tabs>
              <w:tab w:val="right" w:leader="dot" w:pos="8656"/>
            </w:tabs>
            <w:rPr>
              <w:rFonts w:asciiTheme="minorHAnsi" w:eastAsiaTheme="minorEastAsia" w:hAnsiTheme="minorHAnsi" w:cstheme="minorBidi"/>
              <w:noProof/>
              <w:color w:val="auto"/>
              <w:kern w:val="2"/>
              <w:sz w:val="24"/>
              <w:szCs w:val="24"/>
              <w14:ligatures w14:val="standardContextual"/>
            </w:rPr>
          </w:pPr>
          <w:r>
            <w:fldChar w:fldCharType="begin"/>
            <w:instrText>TOC \h \o "1-3"</w:instrText>
            <w:fldChar w:fldCharType="separate"/>
          </w:r>
          <w:hyperlink w:anchor="_Toc232001066" w:history="1">
            <w:r>
              <w:rPr>
                <w:rStyle w:val="Hyperlink"/>
                <w:noProof/>
              </w:rPr>
              <w:t>1. Introduction</w:t>
            </w:r>
            <w:r>
              <w:rPr>
                <w:noProof/>
              </w:rPr>
              <w:tab/>
              <w:fldChar w:fldCharType="begin"/>
              <w:instrText xml:space="preserve"> PAGEREF _Toc232001066 \h </w:instrText>
              <w:fldChar w:fldCharType="separate"/>
              <w:t>3</w:t>
              <w:fldChar w:fldCharType="end"/>
            </w:r>
          </w:hyperlink>
        </w:p>
        <w:p w14:paraId="583B4871" w14:textId="0F5AA649" w:rsidR="00AF4301" w:rsidRDefault="00AF4301">
          <w:pPr>
            <w:pStyle w:val="TOC1"/>
            <w:tabs>
              <w:tab w:val="right" w:leader="dot" w:pos="8656"/>
            </w:tabs>
            <w:rPr>
              <w:rFonts w:asciiTheme="minorHAnsi" w:eastAsiaTheme="minorEastAsia" w:hAnsiTheme="minorHAnsi" w:cstheme="minorBidi"/>
              <w:noProof/>
              <w:color w:val="auto"/>
              <w:kern w:val="2"/>
              <w:sz w:val="24"/>
              <w:szCs w:val="24"/>
              <w14:ligatures w14:val="standardContextual"/>
            </w:rPr>
          </w:pPr>
          <w:hyperlink w:anchor="_Toc232001067" w:history="1">
            <w:r>
              <w:rPr>
                <w:rStyle w:val="Hyperlink"/>
                <w:noProof/>
              </w:rPr>
              <w:t>2. Regulatory Landscape</w:t>
            </w:r>
            <w:r>
              <w:rPr>
                <w:noProof/>
              </w:rPr>
              <w:tab/>
              <w:fldChar w:fldCharType="begin"/>
              <w:instrText xml:space="preserve"> PAGEREF _Toc232001067 \h </w:instrText>
              <w:fldChar w:fldCharType="separate"/>
              <w:t>4</w:t>
              <w:fldChar w:fldCharType="end"/>
            </w:r>
          </w:hyperlink>
        </w:p>
        <w:p w14:paraId="7556F29C" w14:textId="4B59426D" w:rsidR="00AF4301" w:rsidRDefault="00AF4301">
          <w:pPr>
            <w:pStyle w:val="TOC2"/>
            <w:tabs>
              <w:tab w:val="right" w:leader="dot" w:pos="8656"/>
            </w:tabs>
            <w:rPr>
              <w:rFonts w:asciiTheme="minorHAnsi" w:eastAsiaTheme="minorEastAsia" w:hAnsiTheme="minorHAnsi" w:cstheme="minorBidi"/>
              <w:noProof/>
              <w:color w:val="auto"/>
              <w:kern w:val="2"/>
              <w:sz w:val="24"/>
              <w:szCs w:val="24"/>
              <w14:ligatures w14:val="standardContextual"/>
            </w:rPr>
          </w:pPr>
          <w:hyperlink w:anchor="_Toc232001068" w:history="1">
            <w:r>
              <w:rPr>
                <w:rStyle w:val="Hyperlink"/>
                <w:noProof/>
              </w:rPr>
              <w:t>2.1  The Ecodesign for Sustainable Products Regulation</w:t>
            </w:r>
            <w:r>
              <w:rPr>
                <w:noProof/>
              </w:rPr>
              <w:tab/>
              <w:fldChar w:fldCharType="begin"/>
              <w:instrText xml:space="preserve"> PAGEREF _Toc232001068 \h </w:instrText>
              <w:fldChar w:fldCharType="separate"/>
              <w:t>4</w:t>
              <w:fldChar w:fldCharType="end"/>
            </w:r>
          </w:hyperlink>
        </w:p>
        <w:p w14:paraId="23A64987" w14:textId="1840EB30" w:rsidR="00AF4301" w:rsidRDefault="00AF4301">
          <w:pPr>
            <w:pStyle w:val="TOC2"/>
            <w:tabs>
              <w:tab w:val="right" w:leader="dot" w:pos="8656"/>
            </w:tabs>
            <w:rPr>
              <w:rFonts w:asciiTheme="minorHAnsi" w:eastAsiaTheme="minorEastAsia" w:hAnsiTheme="minorHAnsi" w:cstheme="minorBidi"/>
              <w:noProof/>
              <w:color w:val="auto"/>
              <w:kern w:val="2"/>
              <w:sz w:val="24"/>
              <w:szCs w:val="24"/>
              <w14:ligatures w14:val="standardContextual"/>
            </w:rPr>
          </w:pPr>
          <w:hyperlink w:anchor="_Toc232001069" w:history="1">
            <w:r>
              <w:rPr>
                <w:rStyle w:val="Hyperlink"/>
                <w:noProof/>
              </w:rPr>
              <w:t>2.2  The ESPR Working Plan 2025–2030 and the Textile Priority</w:t>
            </w:r>
            <w:r>
              <w:rPr>
                <w:noProof/>
              </w:rPr>
              <w:tab/>
              <w:fldChar w:fldCharType="begin"/>
              <w:instrText xml:space="preserve"> PAGEREF _Toc232001069 \h </w:instrText>
              <w:fldChar w:fldCharType="separate"/>
              <w:t>5</w:t>
              <w:fldChar w:fldCharType="end"/>
            </w:r>
          </w:hyperlink>
        </w:p>
        <w:p w14:paraId="3D5F8773" w14:textId="340C6A6C" w:rsidR="00AF4301" w:rsidRDefault="00AF4301">
          <w:pPr>
            <w:pStyle w:val="TOC2"/>
            <w:tabs>
              <w:tab w:val="right" w:leader="dot" w:pos="8656"/>
            </w:tabs>
            <w:rPr>
              <w:rFonts w:asciiTheme="minorHAnsi" w:eastAsiaTheme="minorEastAsia" w:hAnsiTheme="minorHAnsi" w:cstheme="minorBidi"/>
              <w:noProof/>
              <w:color w:val="auto"/>
              <w:kern w:val="2"/>
              <w:sz w:val="24"/>
              <w:szCs w:val="24"/>
              <w14:ligatures w14:val="standardContextual"/>
            </w:rPr>
          </w:pPr>
          <w:hyperlink w:anchor="_Toc232001070" w:history="1">
            <w:r>
              <w:rPr>
                <w:rStyle w:val="Hyperlink"/>
                <w:noProof/>
              </w:rPr>
              <w:t>2.3  Mandatory Data Categories</w:t>
            </w:r>
            <w:r>
              <w:rPr>
                <w:noProof/>
              </w:rPr>
              <w:tab/>
              <w:fldChar w:fldCharType="begin"/>
              <w:instrText xml:space="preserve"> PAGEREF _Toc232001070 \h </w:instrText>
              <w:fldChar w:fldCharType="separate"/>
              <w:t>5</w:t>
              <w:fldChar w:fldCharType="end"/>
            </w:r>
          </w:hyperlink>
        </w:p>
        <w:p w14:paraId="14DC2497" w14:textId="5DFF5718" w:rsidR="00AF4301" w:rsidRDefault="00AF4301">
          <w:pPr>
            <w:pStyle w:val="TOC2"/>
            <w:tabs>
              <w:tab w:val="right" w:leader="dot" w:pos="8656"/>
            </w:tabs>
            <w:rPr>
              <w:rFonts w:asciiTheme="minorHAnsi" w:eastAsiaTheme="minorEastAsia" w:hAnsiTheme="minorHAnsi" w:cstheme="minorBidi"/>
              <w:noProof/>
              <w:color w:val="auto"/>
              <w:kern w:val="2"/>
              <w:sz w:val="24"/>
              <w:szCs w:val="24"/>
              <w14:ligatures w14:val="standardContextual"/>
            </w:rPr>
          </w:pPr>
          <w:hyperlink w:anchor="_Toc232001071" w:history="1">
            <w:r>
              <w:rPr>
                <w:rStyle w:val="Hyperlink"/>
                <w:noProof/>
              </w:rPr>
              <w:t>2.4  Non-Functional and System-Level Requirements</w:t>
            </w:r>
            <w:r>
              <w:rPr>
                <w:noProof/>
              </w:rPr>
              <w:tab/>
              <w:fldChar w:fldCharType="begin"/>
              <w:instrText xml:space="preserve"> PAGEREF _Toc232001071 \h </w:instrText>
              <w:fldChar w:fldCharType="separate"/>
              <w:t>6</w:t>
              <w:fldChar w:fldCharType="end"/>
            </w:r>
          </w:hyperlink>
        </w:p>
        <w:p w14:paraId="5C747837" w14:textId="1F58839A" w:rsidR="00AF4301" w:rsidRDefault="00AF4301">
          <w:pPr>
            <w:pStyle w:val="TOC2"/>
            <w:tabs>
              <w:tab w:val="right" w:leader="dot" w:pos="8656"/>
            </w:tabs>
            <w:rPr>
              <w:rFonts w:asciiTheme="minorHAnsi" w:eastAsiaTheme="minorEastAsia" w:hAnsiTheme="minorHAnsi" w:cstheme="minorBidi"/>
              <w:noProof/>
              <w:color w:val="auto"/>
              <w:kern w:val="2"/>
              <w:sz w:val="24"/>
              <w:szCs w:val="24"/>
              <w14:ligatures w14:val="standardContextual"/>
            </w:rPr>
          </w:pPr>
          <w:hyperlink w:anchor="_Toc232001072" w:history="1">
            <w:r>
              <w:rPr>
                <w:rStyle w:val="Hyperlink"/>
                <w:noProof/>
              </w:rPr>
              <w:t>2.5  Standardisation: CEN/CENELEC JTC 24</w:t>
            </w:r>
            <w:r>
              <w:rPr>
                <w:noProof/>
              </w:rPr>
              <w:tab/>
              <w:fldChar w:fldCharType="begin"/>
              <w:instrText xml:space="preserve"> PAGEREF _Toc232001072 \h </w:instrText>
              <w:fldChar w:fldCharType="separate"/>
              <w:t>7</w:t>
              <w:fldChar w:fldCharType="end"/>
            </w:r>
          </w:hyperlink>
        </w:p>
        <w:p w14:paraId="7B34BB21" w14:textId="788BAA86" w:rsidR="00AF4301" w:rsidRDefault="00AF4301">
          <w:pPr>
            <w:pStyle w:val="TOC2"/>
            <w:tabs>
              <w:tab w:val="right" w:leader="dot" w:pos="8656"/>
            </w:tabs>
            <w:rPr>
              <w:rFonts w:asciiTheme="minorHAnsi" w:eastAsiaTheme="minorEastAsia" w:hAnsiTheme="minorHAnsi" w:cstheme="minorBidi"/>
              <w:noProof/>
              <w:color w:val="auto"/>
              <w:kern w:val="2"/>
              <w:sz w:val="24"/>
              <w:szCs w:val="24"/>
              <w14:ligatures w14:val="standardContextual"/>
            </w:rPr>
          </w:pPr>
          <w:hyperlink w:anchor="_Toc232001073" w:history="1">
            <w:r>
              <w:rPr>
                <w:rStyle w:val="Hyperlink"/>
                <w:noProof/>
              </w:rPr>
              <w:t>2.6  Implications for the Textile Sector</w:t>
            </w:r>
            <w:r>
              <w:rPr>
                <w:noProof/>
              </w:rPr>
              <w:tab/>
              <w:fldChar w:fldCharType="begin"/>
              <w:instrText xml:space="preserve"> PAGEREF _Toc232001073 \h </w:instrText>
              <w:fldChar w:fldCharType="separate"/>
              <w:t>7</w:t>
              <w:fldChar w:fldCharType="end"/>
            </w:r>
          </w:hyperlink>
        </w:p>
        <w:p w14:paraId="30FBE96F" w14:textId="774FAE1B" w:rsidR="00AF4301" w:rsidRDefault="00AF4301">
          <w:pPr>
            <w:pStyle w:val="TOC1"/>
            <w:tabs>
              <w:tab w:val="right" w:leader="dot" w:pos="8656"/>
            </w:tabs>
            <w:rPr>
              <w:rFonts w:asciiTheme="minorHAnsi" w:eastAsiaTheme="minorEastAsia" w:hAnsiTheme="minorHAnsi" w:cstheme="minorBidi"/>
              <w:noProof/>
              <w:color w:val="auto"/>
              <w:kern w:val="2"/>
              <w:sz w:val="24"/>
              <w:szCs w:val="24"/>
              <w14:ligatures w14:val="standardContextual"/>
            </w:rPr>
          </w:pPr>
          <w:hyperlink w:anchor="_Toc232001074" w:history="1">
            <w:r>
              <w:rPr>
                <w:rStyle w:val="Hyperlink"/>
                <w:noProof/>
              </w:rPr>
              <w:t>3. State of Implementation — EU and NL Context</w:t>
            </w:r>
            <w:r>
              <w:rPr>
                <w:noProof/>
              </w:rPr>
              <w:tab/>
              <w:fldChar w:fldCharType="begin"/>
              <w:instrText xml:space="preserve"> PAGEREF _Toc232001074 \h </w:instrText>
              <w:fldChar w:fldCharType="separate"/>
              <w:t>8</w:t>
              <w:fldChar w:fldCharType="end"/>
            </w:r>
          </w:hyperlink>
        </w:p>
        <w:p w14:paraId="4B371852" w14:textId="4782C780" w:rsidR="00AF4301" w:rsidRDefault="00AF4301">
          <w:pPr>
            <w:pStyle w:val="TOC2"/>
            <w:tabs>
              <w:tab w:val="right" w:leader="dot" w:pos="8656"/>
            </w:tabs>
            <w:rPr>
              <w:rFonts w:asciiTheme="minorHAnsi" w:eastAsiaTheme="minorEastAsia" w:hAnsiTheme="minorHAnsi" w:cstheme="minorBidi"/>
              <w:noProof/>
              <w:color w:val="auto"/>
              <w:kern w:val="2"/>
              <w:sz w:val="24"/>
              <w:szCs w:val="24"/>
              <w14:ligatures w14:val="standardContextual"/>
            </w:rPr>
          </w:pPr>
          <w:hyperlink w:anchor="_Toc232001075" w:history="1">
            <w:r>
              <w:rPr>
                <w:rStyle w:val="Hyperlink"/>
                <w:noProof/>
              </w:rPr>
              <w:t>3.1  The EU DPP Implementation Landscape</w:t>
            </w:r>
            <w:r>
              <w:rPr>
                <w:noProof/>
              </w:rPr>
              <w:tab/>
              <w:fldChar w:fldCharType="begin"/>
              <w:instrText xml:space="preserve"> PAGEREF _Toc232001075 \h </w:instrText>
              <w:fldChar w:fldCharType="separate"/>
              <w:t>8</w:t>
              <w:fldChar w:fldCharType="end"/>
            </w:r>
          </w:hyperlink>
        </w:p>
        <w:p w14:paraId="1BACE931" w14:textId="61862DC9" w:rsidR="00AF4301" w:rsidRDefault="00AF4301">
          <w:pPr>
            <w:pStyle w:val="TOC2"/>
            <w:tabs>
              <w:tab w:val="right" w:leader="dot" w:pos="8656"/>
            </w:tabs>
            <w:rPr>
              <w:rFonts w:asciiTheme="minorHAnsi" w:eastAsiaTheme="minorEastAsia" w:hAnsiTheme="minorHAnsi" w:cstheme="minorBidi"/>
              <w:noProof/>
              <w:color w:val="auto"/>
              <w:kern w:val="2"/>
              <w:sz w:val="24"/>
              <w:szCs w:val="24"/>
              <w14:ligatures w14:val="standardContextual"/>
            </w:rPr>
          </w:pPr>
          <w:hyperlink w:anchor="_Toc232001076" w:history="1">
            <w:r>
              <w:rPr>
                <w:rStyle w:val="Hyperlink"/>
                <w:noProof/>
              </w:rPr>
              <w:t>3.2  The Netherlands: National DPP Policy and the CoE-DPP</w:t>
            </w:r>
            <w:r>
              <w:rPr>
                <w:noProof/>
              </w:rPr>
              <w:tab/>
              <w:fldChar w:fldCharType="begin"/>
              <w:instrText xml:space="preserve"> PAGEREF _Toc232001076 \h </w:instrText>
              <w:fldChar w:fldCharType="separate"/>
              <w:t>9</w:t>
              <w:fldChar w:fldCharType="end"/>
            </w:r>
          </w:hyperlink>
        </w:p>
        <w:p w14:paraId="537AC9C0" w14:textId="1256D220" w:rsidR="00AF4301" w:rsidRDefault="00AF4301">
          <w:pPr>
            <w:pStyle w:val="TOC2"/>
            <w:tabs>
              <w:tab w:val="right" w:leader="dot" w:pos="8656"/>
            </w:tabs>
            <w:rPr>
              <w:rFonts w:asciiTheme="minorHAnsi" w:eastAsiaTheme="minorEastAsia" w:hAnsiTheme="minorHAnsi" w:cstheme="minorBidi"/>
              <w:noProof/>
              <w:color w:val="auto"/>
              <w:kern w:val="2"/>
              <w:sz w:val="24"/>
              <w:szCs w:val="24"/>
              <w14:ligatures w14:val="standardContextual"/>
            </w:rPr>
          </w:pPr>
          <w:hyperlink w:anchor="_Toc232001077" w:history="1">
            <w:r>
              <w:rPr>
                <w:rStyle w:val="Hyperlink"/>
                <w:noProof/>
              </w:rPr>
              <w:t>3.3  Dutch DPP Ecosystem: Landscape Scan Findings</w:t>
            </w:r>
            <w:r>
              <w:rPr>
                <w:noProof/>
              </w:rPr>
              <w:tab/>
              <w:fldChar w:fldCharType="begin"/>
              <w:instrText xml:space="preserve"> PAGEREF _Toc232001077 \h </w:instrText>
              <w:fldChar w:fldCharType="separate"/>
              <w:t>10</w:t>
              <w:fldChar w:fldCharType="end"/>
            </w:r>
          </w:hyperlink>
        </w:p>
        <w:p w14:paraId="289AB97F" w14:textId="3A7A0E14" w:rsidR="00AF4301" w:rsidRDefault="00AF4301">
          <w:pPr>
            <w:pStyle w:val="TOC2"/>
            <w:tabs>
              <w:tab w:val="right" w:leader="dot" w:pos="8656"/>
            </w:tabs>
            <w:rPr>
              <w:rFonts w:asciiTheme="minorHAnsi" w:eastAsiaTheme="minorEastAsia" w:hAnsiTheme="minorHAnsi" w:cstheme="minorBidi"/>
              <w:noProof/>
              <w:color w:val="auto"/>
              <w:kern w:val="2"/>
              <w:sz w:val="24"/>
              <w:szCs w:val="24"/>
              <w14:ligatures w14:val="standardContextual"/>
            </w:rPr>
          </w:pPr>
          <w:hyperlink w:anchor="_Toc232001078" w:history="1">
            <w:r>
              <w:rPr>
                <w:rStyle w:val="Hyperlink"/>
                <w:noProof/>
              </w:rPr>
              <w:t>3.4  DPP Adoption Dynamics: Implementation Status and Market Barriers</w:t>
            </w:r>
            <w:r>
              <w:rPr>
                <w:noProof/>
              </w:rPr>
              <w:tab/>
              <w:fldChar w:fldCharType="begin"/>
              <w:instrText xml:space="preserve"> PAGEREF _Toc232001078 \h </w:instrText>
              <w:fldChar w:fldCharType="separate"/>
              <w:t>10</w:t>
              <w:fldChar w:fldCharType="end"/>
            </w:r>
          </w:hyperlink>
        </w:p>
        <w:p w14:paraId="52CB0272" w14:textId="40BE014B" w:rsidR="00AF4301" w:rsidRDefault="00AF4301">
          <w:pPr>
            <w:pStyle w:val="TOC2"/>
            <w:tabs>
              <w:tab w:val="right" w:leader="dot" w:pos="8656"/>
            </w:tabs>
            <w:rPr>
              <w:rFonts w:asciiTheme="minorHAnsi" w:eastAsiaTheme="minorEastAsia" w:hAnsiTheme="minorHAnsi" w:cstheme="minorBidi"/>
              <w:noProof/>
              <w:color w:val="auto"/>
              <w:kern w:val="2"/>
              <w:sz w:val="24"/>
              <w:szCs w:val="24"/>
              <w14:ligatures w14:val="standardContextual"/>
            </w:rPr>
          </w:pPr>
          <w:hyperlink w:anchor="_Toc232001079" w:history="1">
            <w:r>
              <w:rPr>
                <w:rStyle w:val="Hyperlink"/>
                <w:noProof/>
              </w:rPr>
              <w:t>3.5  Data Content Requirements for Textile DPPs: Proposed Structure</w:t>
            </w:r>
            <w:r>
              <w:rPr>
                <w:noProof/>
              </w:rPr>
              <w:tab/>
              <w:fldChar w:fldCharType="begin"/>
              <w:instrText xml:space="preserve"> PAGEREF _Toc232001079 \h </w:instrText>
              <w:fldChar w:fldCharType="separate"/>
              <w:t>11</w:t>
              <w:fldChar w:fldCharType="end"/>
            </w:r>
          </w:hyperlink>
        </w:p>
        <w:p w14:paraId="5129A9ED" w14:textId="60E144C4" w:rsidR="00AF4301" w:rsidRDefault="00AF4301">
          <w:pPr>
            <w:pStyle w:val="TOC2"/>
            <w:tabs>
              <w:tab w:val="right" w:leader="dot" w:pos="8656"/>
            </w:tabs>
            <w:rPr>
              <w:rFonts w:asciiTheme="minorHAnsi" w:eastAsiaTheme="minorEastAsia" w:hAnsiTheme="minorHAnsi" w:cstheme="minorBidi"/>
              <w:noProof/>
              <w:color w:val="auto"/>
              <w:kern w:val="2"/>
              <w:sz w:val="24"/>
              <w:szCs w:val="24"/>
              <w14:ligatures w14:val="standardContextual"/>
            </w:rPr>
          </w:pPr>
          <w:hyperlink w:anchor="_Toc232001080" w:history="1">
            <w:r>
              <w:rPr>
                <w:rStyle w:val="Hyperlink"/>
                <w:noProof/>
              </w:rPr>
              <w:t>3.6  Proposed Granularity Levels by Data Field</w:t>
            </w:r>
            <w:r>
              <w:rPr>
                <w:noProof/>
              </w:rPr>
              <w:tab/>
              <w:fldChar w:fldCharType="begin"/>
              <w:instrText xml:space="preserve"> PAGEREF _Toc232001080 \h </w:instrText>
              <w:fldChar w:fldCharType="separate"/>
              <w:t>12</w:t>
              <w:fldChar w:fldCharType="end"/>
            </w:r>
          </w:hyperlink>
        </w:p>
        <w:p w14:paraId="4668D31F" w14:textId="5D2F2B29" w:rsidR="00AF4301" w:rsidRDefault="00AF4301">
          <w:pPr>
            <w:pStyle w:val="TOC2"/>
            <w:tabs>
              <w:tab w:val="right" w:leader="dot" w:pos="8656"/>
            </w:tabs>
            <w:rPr>
              <w:rFonts w:asciiTheme="minorHAnsi" w:eastAsiaTheme="minorEastAsia" w:hAnsiTheme="minorHAnsi" w:cstheme="minorBidi"/>
              <w:noProof/>
              <w:color w:val="auto"/>
              <w:kern w:val="2"/>
              <w:sz w:val="24"/>
              <w:szCs w:val="24"/>
              <w14:ligatures w14:val="standardContextual"/>
            </w:rPr>
          </w:pPr>
          <w:hyperlink w:anchor="_Toc232001081" w:history="1">
            <w:r>
              <w:rPr>
                <w:rStyle w:val="Hyperlink"/>
                <w:noProof/>
              </w:rPr>
              <w:t>3.7  Position of the M-DPP Project within the Implementation Landscape</w:t>
            </w:r>
            <w:r>
              <w:rPr>
                <w:noProof/>
              </w:rPr>
              <w:tab/>
              <w:fldChar w:fldCharType="begin"/>
              <w:instrText xml:space="preserve"> PAGEREF _Toc232001081 \h </w:instrText>
              <w:fldChar w:fldCharType="separate"/>
              <w:t>15</w:t>
              <w:fldChar w:fldCharType="end"/>
            </w:r>
          </w:hyperlink>
        </w:p>
        <w:p w14:paraId="3E7826ED" w14:textId="59594F9E" w:rsidR="00AF4301" w:rsidRDefault="00AF4301">
          <w:pPr>
            <w:pStyle w:val="TOC1"/>
            <w:tabs>
              <w:tab w:val="right" w:leader="dot" w:pos="8656"/>
            </w:tabs>
            <w:rPr>
              <w:rFonts w:asciiTheme="minorHAnsi" w:eastAsiaTheme="minorEastAsia" w:hAnsiTheme="minorHAnsi" w:cstheme="minorBidi"/>
              <w:noProof/>
              <w:color w:val="auto"/>
              <w:kern w:val="2"/>
              <w:sz w:val="24"/>
              <w:szCs w:val="24"/>
              <w14:ligatures w14:val="standardContextual"/>
            </w:rPr>
          </w:pPr>
          <w:hyperlink w:anchor="_Toc232001082" w:history="1">
            <w:r>
              <w:rPr>
                <w:rStyle w:val="Hyperlink"/>
                <w:noProof/>
              </w:rPr>
              <w:t>4. Stakeholder-Validated Requirements: Delphi Consultation</w:t>
            </w:r>
            <w:r>
              <w:rPr>
                <w:noProof/>
              </w:rPr>
              <w:tab/>
              <w:fldChar w:fldCharType="begin"/>
              <w:instrText xml:space="preserve"> PAGEREF _Toc232001082 \h </w:instrText>
              <w:fldChar w:fldCharType="separate"/>
              <w:t>16</w:t>
              <w:fldChar w:fldCharType="end"/>
            </w:r>
          </w:hyperlink>
        </w:p>
        <w:p w14:paraId="227A23B2" w14:textId="6AE8470E" w:rsidR="00AF4301" w:rsidRDefault="00AF4301">
          <w:pPr>
            <w:pStyle w:val="TOC2"/>
            <w:tabs>
              <w:tab w:val="right" w:leader="dot" w:pos="8656"/>
            </w:tabs>
            <w:rPr>
              <w:rFonts w:asciiTheme="minorHAnsi" w:eastAsiaTheme="minorEastAsia" w:hAnsiTheme="minorHAnsi" w:cstheme="minorBidi"/>
              <w:noProof/>
              <w:color w:val="auto"/>
              <w:kern w:val="2"/>
              <w:sz w:val="24"/>
              <w:szCs w:val="24"/>
              <w14:ligatures w14:val="standardContextual"/>
            </w:rPr>
          </w:pPr>
          <w:hyperlink w:anchor="_Toc232001083" w:history="1">
            <w:r>
              <w:rPr>
                <w:rStyle w:val="Hyperlink"/>
                <w:noProof/>
              </w:rPr>
              <w:t>4.1  Study Design</w:t>
            </w:r>
            <w:r>
              <w:rPr>
                <w:noProof/>
              </w:rPr>
              <w:tab/>
              <w:fldChar w:fldCharType="begin"/>
              <w:instrText xml:space="preserve"> PAGEREF _Toc232001083 \h </w:instrText>
              <w:fldChar w:fldCharType="separate"/>
              <w:t>16</w:t>
              <w:fldChar w:fldCharType="end"/>
            </w:r>
          </w:hyperlink>
        </w:p>
        <w:p w14:paraId="42B83616" w14:textId="0F4EE816" w:rsidR="00AF4301" w:rsidRDefault="00AF4301">
          <w:pPr>
            <w:pStyle w:val="TOC2"/>
            <w:tabs>
              <w:tab w:val="right" w:leader="dot" w:pos="8656"/>
            </w:tabs>
            <w:rPr>
              <w:rFonts w:asciiTheme="minorHAnsi" w:eastAsiaTheme="minorEastAsia" w:hAnsiTheme="minorHAnsi" w:cstheme="minorBidi"/>
              <w:noProof/>
              <w:color w:val="auto"/>
              <w:kern w:val="2"/>
              <w:sz w:val="24"/>
              <w:szCs w:val="24"/>
              <w14:ligatures w14:val="standardContextual"/>
            </w:rPr>
          </w:pPr>
          <w:hyperlink w:anchor="_Toc232001084" w:history="1">
            <w:r>
              <w:rPr>
                <w:rStyle w:val="Hyperlink"/>
                <w:noProof/>
              </w:rPr>
              <w:t>4.2  Round 1 Findings by Topic</w:t>
            </w:r>
            <w:r>
              <w:rPr>
                <w:noProof/>
              </w:rPr>
              <w:tab/>
              <w:fldChar w:fldCharType="begin"/>
              <w:instrText xml:space="preserve"> PAGEREF _Toc232001084 \h </w:instrText>
              <w:fldChar w:fldCharType="separate"/>
              <w:t>17</w:t>
              <w:fldChar w:fldCharType="end"/>
            </w:r>
          </w:hyperlink>
        </w:p>
        <w:p w14:paraId="2FFFBC57" w14:textId="2F8B86AE" w:rsidR="00AF4301" w:rsidRDefault="00AF4301">
          <w:pPr>
            <w:pStyle w:val="TOC2"/>
            <w:tabs>
              <w:tab w:val="right" w:leader="dot" w:pos="8656"/>
            </w:tabs>
            <w:rPr>
              <w:rFonts w:asciiTheme="minorHAnsi" w:eastAsiaTheme="minorEastAsia" w:hAnsiTheme="minorHAnsi" w:cstheme="minorBidi"/>
              <w:noProof/>
              <w:color w:val="auto"/>
              <w:kern w:val="2"/>
              <w:sz w:val="24"/>
              <w:szCs w:val="24"/>
              <w14:ligatures w14:val="standardContextual"/>
            </w:rPr>
          </w:pPr>
          <w:hyperlink w:anchor="_Toc232001085" w:history="1">
            <w:r>
              <w:rPr>
                <w:rStyle w:val="Hyperlink"/>
                <w:noProof/>
              </w:rPr>
              <w:t>4.2.1  Composition and Chemical Safety</w:t>
            </w:r>
            <w:r>
              <w:rPr>
                <w:noProof/>
              </w:rPr>
              <w:tab/>
              <w:fldChar w:fldCharType="begin"/>
              <w:instrText xml:space="preserve"> PAGEREF _Toc232001085 \h </w:instrText>
              <w:fldChar w:fldCharType="separate"/>
              <w:t>17</w:t>
              <w:fldChar w:fldCharType="end"/>
            </w:r>
          </w:hyperlink>
        </w:p>
        <w:p w14:paraId="00E920FD" w14:textId="0C48FC86" w:rsidR="00AF4301" w:rsidRDefault="00AF4301">
          <w:pPr>
            <w:pStyle w:val="TOC2"/>
            <w:tabs>
              <w:tab w:val="right" w:leader="dot" w:pos="8656"/>
            </w:tabs>
            <w:rPr>
              <w:rFonts w:asciiTheme="minorHAnsi" w:eastAsiaTheme="minorEastAsia" w:hAnsiTheme="minorHAnsi" w:cstheme="minorBidi"/>
              <w:noProof/>
              <w:color w:val="auto"/>
              <w:kern w:val="2"/>
              <w:sz w:val="24"/>
              <w:szCs w:val="24"/>
              <w14:ligatures w14:val="standardContextual"/>
            </w:rPr>
          </w:pPr>
          <w:hyperlink w:anchor="_Toc232001086" w:history="1">
            <w:r>
              <w:rPr>
                <w:rStyle w:val="Hyperlink"/>
                <w:noProof/>
              </w:rPr>
              <w:t>4.2.2  Supply Chain Traceability</w:t>
            </w:r>
            <w:r>
              <w:rPr>
                <w:noProof/>
              </w:rPr>
              <w:tab/>
              <w:fldChar w:fldCharType="begin"/>
              <w:instrText xml:space="preserve"> PAGEREF _Toc232001086 \h </w:instrText>
              <w:fldChar w:fldCharType="separate"/>
              <w:t>17</w:t>
              <w:fldChar w:fldCharType="end"/>
            </w:r>
          </w:hyperlink>
        </w:p>
        <w:p w14:paraId="0AA3330D" w14:textId="5FDFCA5F" w:rsidR="00AF4301" w:rsidRDefault="00AF4301">
          <w:pPr>
            <w:pStyle w:val="TOC2"/>
            <w:tabs>
              <w:tab w:val="right" w:leader="dot" w:pos="8656"/>
            </w:tabs>
            <w:rPr>
              <w:rFonts w:asciiTheme="minorHAnsi" w:eastAsiaTheme="minorEastAsia" w:hAnsiTheme="minorHAnsi" w:cstheme="minorBidi"/>
              <w:noProof/>
              <w:color w:val="auto"/>
              <w:kern w:val="2"/>
              <w:sz w:val="24"/>
              <w:szCs w:val="24"/>
              <w14:ligatures w14:val="standardContextual"/>
            </w:rPr>
          </w:pPr>
          <w:hyperlink w:anchor="_Toc232001087" w:history="1">
            <w:r>
              <w:rPr>
                <w:rStyle w:val="Hyperlink"/>
                <w:noProof/>
              </w:rPr>
              <w:t>4.2.3  Recyclability</w:t>
            </w:r>
            <w:r>
              <w:rPr>
                <w:noProof/>
              </w:rPr>
              <w:tab/>
              <w:fldChar w:fldCharType="begin"/>
              <w:instrText xml:space="preserve"> PAGEREF _Toc232001087 \h </w:instrText>
              <w:fldChar w:fldCharType="separate"/>
              <w:t>18</w:t>
              <w:fldChar w:fldCharType="end"/>
            </w:r>
          </w:hyperlink>
        </w:p>
        <w:p w14:paraId="31EA227C" w14:textId="32C9EFCB" w:rsidR="00AF4301" w:rsidRDefault="00AF4301">
          <w:pPr>
            <w:pStyle w:val="TOC2"/>
            <w:tabs>
              <w:tab w:val="right" w:leader="dot" w:pos="8656"/>
            </w:tabs>
            <w:rPr>
              <w:rFonts w:asciiTheme="minorHAnsi" w:eastAsiaTheme="minorEastAsia" w:hAnsiTheme="minorHAnsi" w:cstheme="minorBidi"/>
              <w:noProof/>
              <w:color w:val="auto"/>
              <w:kern w:val="2"/>
              <w:sz w:val="24"/>
              <w:szCs w:val="24"/>
              <w14:ligatures w14:val="standardContextual"/>
            </w:rPr>
          </w:pPr>
          <w:hyperlink w:anchor="_Toc232001088" w:history="1">
            <w:r>
              <w:rPr>
                <w:rStyle w:val="Hyperlink"/>
                <w:noProof/>
              </w:rPr>
              <w:t>4.2.4  Packaging</w:t>
            </w:r>
            <w:r>
              <w:rPr>
                <w:noProof/>
              </w:rPr>
              <w:tab/>
              <w:fldChar w:fldCharType="begin"/>
              <w:instrText xml:space="preserve"> PAGEREF _Toc232001088 \h </w:instrText>
              <w:fldChar w:fldCharType="separate"/>
              <w:t>18</w:t>
              <w:fldChar w:fldCharType="end"/>
            </w:r>
          </w:hyperlink>
        </w:p>
        <w:p w14:paraId="7E39CD31" w14:textId="2B1F1AED" w:rsidR="00AF4301" w:rsidRDefault="00AF4301">
          <w:pPr>
            <w:pStyle w:val="TOC2"/>
            <w:tabs>
              <w:tab w:val="right" w:leader="dot" w:pos="8656"/>
            </w:tabs>
            <w:rPr>
              <w:rFonts w:asciiTheme="minorHAnsi" w:eastAsiaTheme="minorEastAsia" w:hAnsiTheme="minorHAnsi" w:cstheme="minorBidi"/>
              <w:noProof/>
              <w:color w:val="auto"/>
              <w:kern w:val="2"/>
              <w:sz w:val="24"/>
              <w:szCs w:val="24"/>
              <w14:ligatures w14:val="standardContextual"/>
            </w:rPr>
          </w:pPr>
          <w:hyperlink w:anchor="_Toc232001089" w:history="1">
            <w:r>
              <w:rPr>
                <w:rStyle w:val="Hyperlink"/>
                <w:noProof/>
              </w:rPr>
              <w:t>4.2.5  Environmental Footprint</w:t>
            </w:r>
            <w:r>
              <w:rPr>
                <w:noProof/>
              </w:rPr>
              <w:tab/>
              <w:fldChar w:fldCharType="begin"/>
              <w:instrText xml:space="preserve"> PAGEREF _Toc232001089 \h </w:instrText>
              <w:fldChar w:fldCharType="separate"/>
              <w:t>19</w:t>
              <w:fldChar w:fldCharType="end"/>
            </w:r>
          </w:hyperlink>
        </w:p>
        <w:p w14:paraId="0A81C6B4" w14:textId="6092C2D7" w:rsidR="00AF4301" w:rsidRDefault="00AF4301">
          <w:pPr>
            <w:pStyle w:val="TOC2"/>
            <w:tabs>
              <w:tab w:val="right" w:leader="dot" w:pos="8656"/>
            </w:tabs>
            <w:rPr>
              <w:rFonts w:asciiTheme="minorHAnsi" w:eastAsiaTheme="minorEastAsia" w:hAnsiTheme="minorHAnsi" w:cstheme="minorBidi"/>
              <w:noProof/>
              <w:color w:val="auto"/>
              <w:kern w:val="2"/>
              <w:sz w:val="24"/>
              <w:szCs w:val="24"/>
              <w14:ligatures w14:val="standardContextual"/>
            </w:rPr>
          </w:pPr>
          <w:hyperlink w:anchor="_Toc232001090" w:history="1">
            <w:r>
              <w:rPr>
                <w:rStyle w:val="Hyperlink"/>
                <w:noProof/>
              </w:rPr>
              <w:t>4.3  Round 2 Results by Topic</w:t>
            </w:r>
            <w:r>
              <w:rPr>
                <w:noProof/>
              </w:rPr>
              <w:tab/>
              <w:fldChar w:fldCharType="begin"/>
              <w:instrText xml:space="preserve"> PAGEREF _Toc232001090 \h </w:instrText>
              <w:fldChar w:fldCharType="separate"/>
              <w:t>19</w:t>
              <w:fldChar w:fldCharType="end"/>
            </w:r>
          </w:hyperlink>
        </w:p>
        <w:p w14:paraId="2FB0A6DB" w14:textId="1A13E057" w:rsidR="00AF4301" w:rsidRDefault="00AF4301">
          <w:pPr>
            <w:pStyle w:val="TOC2"/>
            <w:tabs>
              <w:tab w:val="right" w:leader="dot" w:pos="8656"/>
            </w:tabs>
            <w:rPr>
              <w:rFonts w:asciiTheme="minorHAnsi" w:eastAsiaTheme="minorEastAsia" w:hAnsiTheme="minorHAnsi" w:cstheme="minorBidi"/>
              <w:noProof/>
              <w:color w:val="auto"/>
              <w:kern w:val="2"/>
              <w:sz w:val="24"/>
              <w:szCs w:val="24"/>
              <w14:ligatures w14:val="standardContextual"/>
            </w:rPr>
          </w:pPr>
          <w:hyperlink w:anchor="_Toc232001091" w:history="1">
            <w:r>
              <w:rPr>
                <w:rStyle w:val="Hyperlink"/>
                <w:noProof/>
              </w:rPr>
              <w:t>4.3.1  Composition and Chemical Safety</w:t>
            </w:r>
            <w:r>
              <w:rPr>
                <w:noProof/>
              </w:rPr>
              <w:tab/>
              <w:fldChar w:fldCharType="begin"/>
              <w:instrText xml:space="preserve"> PAGEREF _Toc232001091 \h </w:instrText>
              <w:fldChar w:fldCharType="separate"/>
              <w:t>19</w:t>
              <w:fldChar w:fldCharType="end"/>
            </w:r>
          </w:hyperlink>
        </w:p>
        <w:p w14:paraId="26FDF3A1" w14:textId="0ED6993F" w:rsidR="00AF4301" w:rsidRDefault="00AF4301">
          <w:pPr>
            <w:pStyle w:val="TOC2"/>
            <w:tabs>
              <w:tab w:val="right" w:leader="dot" w:pos="8656"/>
            </w:tabs>
            <w:rPr>
              <w:rFonts w:asciiTheme="minorHAnsi" w:eastAsiaTheme="minorEastAsia" w:hAnsiTheme="minorHAnsi" w:cstheme="minorBidi"/>
              <w:noProof/>
              <w:color w:val="auto"/>
              <w:kern w:val="2"/>
              <w:sz w:val="24"/>
              <w:szCs w:val="24"/>
              <w14:ligatures w14:val="standardContextual"/>
            </w:rPr>
          </w:pPr>
          <w:hyperlink w:anchor="_Toc232001092" w:history="1">
            <w:r>
              <w:rPr>
                <w:rStyle w:val="Hyperlink"/>
                <w:noProof/>
              </w:rPr>
              <w:t>4.3.2  Supply Chain Traceability</w:t>
            </w:r>
            <w:r>
              <w:rPr>
                <w:noProof/>
              </w:rPr>
              <w:tab/>
              <w:fldChar w:fldCharType="begin"/>
              <w:instrText xml:space="preserve"> PAGEREF _Toc232001092 \h </w:instrText>
              <w:fldChar w:fldCharType="separate"/>
              <w:t>20</w:t>
              <w:fldChar w:fldCharType="end"/>
            </w:r>
          </w:hyperlink>
        </w:p>
        <w:p w14:paraId="777839AE" w14:textId="7B15D23E" w:rsidR="00AF4301" w:rsidRDefault="00AF4301">
          <w:pPr>
            <w:pStyle w:val="TOC2"/>
            <w:tabs>
              <w:tab w:val="right" w:leader="dot" w:pos="8656"/>
            </w:tabs>
            <w:rPr>
              <w:rFonts w:asciiTheme="minorHAnsi" w:eastAsiaTheme="minorEastAsia" w:hAnsiTheme="minorHAnsi" w:cstheme="minorBidi"/>
              <w:noProof/>
              <w:color w:val="auto"/>
              <w:kern w:val="2"/>
              <w:sz w:val="24"/>
              <w:szCs w:val="24"/>
              <w14:ligatures w14:val="standardContextual"/>
            </w:rPr>
          </w:pPr>
          <w:hyperlink w:anchor="_Toc232001093" w:history="1">
            <w:r>
              <w:rPr>
                <w:rStyle w:val="Hyperlink"/>
                <w:noProof/>
              </w:rPr>
              <w:t>4.3.3  Recyclability</w:t>
            </w:r>
            <w:r>
              <w:rPr>
                <w:noProof/>
              </w:rPr>
              <w:tab/>
              <w:fldChar w:fldCharType="begin"/>
              <w:instrText xml:space="preserve"> PAGEREF _Toc232001093 \h </w:instrText>
              <w:fldChar w:fldCharType="separate"/>
              <w:t>20</w:t>
              <w:fldChar w:fldCharType="end"/>
            </w:r>
          </w:hyperlink>
        </w:p>
        <w:p w14:paraId="5A49D261" w14:textId="2EE53B44" w:rsidR="00AF4301" w:rsidRDefault="00AF4301">
          <w:pPr>
            <w:pStyle w:val="TOC2"/>
            <w:tabs>
              <w:tab w:val="right" w:leader="dot" w:pos="8656"/>
            </w:tabs>
            <w:rPr>
              <w:rFonts w:asciiTheme="minorHAnsi" w:eastAsiaTheme="minorEastAsia" w:hAnsiTheme="minorHAnsi" w:cstheme="minorBidi"/>
              <w:noProof/>
              <w:color w:val="auto"/>
              <w:kern w:val="2"/>
              <w:sz w:val="24"/>
              <w:szCs w:val="24"/>
              <w14:ligatures w14:val="standardContextual"/>
            </w:rPr>
          </w:pPr>
          <w:hyperlink w:anchor="_Toc232001094" w:history="1">
            <w:r>
              <w:rPr>
                <w:rStyle w:val="Hyperlink"/>
                <w:noProof/>
              </w:rPr>
              <w:t>4.3.4  Packaging</w:t>
            </w:r>
            <w:r>
              <w:rPr>
                <w:noProof/>
              </w:rPr>
              <w:tab/>
              <w:fldChar w:fldCharType="begin"/>
              <w:instrText xml:space="preserve"> PAGEREF _Toc232001094 \h </w:instrText>
              <w:fldChar w:fldCharType="separate"/>
              <w:t>21</w:t>
              <w:fldChar w:fldCharType="end"/>
            </w:r>
          </w:hyperlink>
        </w:p>
        <w:p w14:paraId="5D18AAFA" w14:textId="722A73CB" w:rsidR="00AF4301" w:rsidRDefault="00AF4301">
          <w:pPr>
            <w:pStyle w:val="TOC2"/>
            <w:tabs>
              <w:tab w:val="right" w:leader="dot" w:pos="8656"/>
            </w:tabs>
            <w:rPr>
              <w:rFonts w:asciiTheme="minorHAnsi" w:eastAsiaTheme="minorEastAsia" w:hAnsiTheme="minorHAnsi" w:cstheme="minorBidi"/>
              <w:noProof/>
              <w:color w:val="auto"/>
              <w:kern w:val="2"/>
              <w:sz w:val="24"/>
              <w:szCs w:val="24"/>
              <w14:ligatures w14:val="standardContextual"/>
            </w:rPr>
          </w:pPr>
          <w:hyperlink w:anchor="_Toc232001095" w:history="1">
            <w:r>
              <w:rPr>
                <w:rStyle w:val="Hyperlink"/>
                <w:noProof/>
              </w:rPr>
              <w:t>4.3.5  Environmental Footprint</w:t>
            </w:r>
            <w:r>
              <w:rPr>
                <w:noProof/>
              </w:rPr>
              <w:tab/>
              <w:fldChar w:fldCharType="begin"/>
              <w:instrText xml:space="preserve"> PAGEREF _Toc232001095 \h </w:instrText>
              <w:fldChar w:fldCharType="separate"/>
              <w:t>21</w:t>
              <w:fldChar w:fldCharType="end"/>
            </w:r>
          </w:hyperlink>
        </w:p>
        <w:p w14:paraId="16642D90" w14:textId="324E0EE0" w:rsidR="00AF4301" w:rsidRDefault="00AF4301">
          <w:pPr>
            <w:pStyle w:val="TOC2"/>
            <w:tabs>
              <w:tab w:val="right" w:leader="dot" w:pos="8656"/>
            </w:tabs>
            <w:rPr>
              <w:rFonts w:asciiTheme="minorHAnsi" w:eastAsiaTheme="minorEastAsia" w:hAnsiTheme="minorHAnsi" w:cstheme="minorBidi"/>
              <w:noProof/>
              <w:color w:val="auto"/>
              <w:kern w:val="2"/>
              <w:sz w:val="24"/>
              <w:szCs w:val="24"/>
              <w14:ligatures w14:val="standardContextual"/>
            </w:rPr>
          </w:pPr>
          <w:hyperlink w:anchor="_Toc232001096" w:history="1">
            <w:r>
              <w:rPr>
                <w:rStyle w:val="Hyperlink"/>
                <w:noProof/>
              </w:rPr>
              <w:t>4.4  Areas of Consensus and Persistent Disagreement</w:t>
            </w:r>
            <w:r>
              <w:rPr>
                <w:noProof/>
              </w:rPr>
              <w:tab/>
              <w:fldChar w:fldCharType="begin"/>
              <w:instrText xml:space="preserve"> PAGEREF _Toc232001096 \h </w:instrText>
              <w:fldChar w:fldCharType="separate"/>
              <w:t>21</w:t>
              <w:fldChar w:fldCharType="end"/>
            </w:r>
          </w:hyperlink>
        </w:p>
        <w:p w14:paraId="1C34A0A4" w14:textId="6D00745A" w:rsidR="00AF4301" w:rsidRDefault="00AF4301">
          <w:pPr>
            <w:pStyle w:val="TOC2"/>
            <w:tabs>
              <w:tab w:val="right" w:leader="dot" w:pos="8656"/>
            </w:tabs>
            <w:rPr>
              <w:rFonts w:asciiTheme="minorHAnsi" w:eastAsiaTheme="minorEastAsia" w:hAnsiTheme="minorHAnsi" w:cstheme="minorBidi"/>
              <w:noProof/>
              <w:color w:val="auto"/>
              <w:kern w:val="2"/>
              <w:sz w:val="24"/>
              <w:szCs w:val="24"/>
              <w14:ligatures w14:val="standardContextual"/>
            </w:rPr>
          </w:pPr>
          <w:hyperlink w:anchor="_Toc232001097" w:history="1">
            <w:r>
              <w:rPr>
                <w:rStyle w:val="Hyperlink"/>
                <w:noProof/>
              </w:rPr>
              <w:t>4.5  Cross-Cutting Findings</w:t>
            </w:r>
            <w:r>
              <w:rPr>
                <w:noProof/>
              </w:rPr>
              <w:tab/>
              <w:fldChar w:fldCharType="begin"/>
              <w:instrText xml:space="preserve"> PAGEREF _Toc232001097 \h </w:instrText>
              <w:fldChar w:fldCharType="separate"/>
              <w:t>22</w:t>
              <w:fldChar w:fldCharType="end"/>
            </w:r>
          </w:hyperlink>
        </w:p>
        <w:p w14:paraId="2A037751" w14:textId="59076B5F" w:rsidR="00AF4301" w:rsidRDefault="00AF4301">
          <w:pPr>
            <w:pStyle w:val="TOC1"/>
            <w:tabs>
              <w:tab w:val="right" w:leader="dot" w:pos="8656"/>
            </w:tabs>
            <w:rPr>
              <w:rFonts w:asciiTheme="minorHAnsi" w:eastAsiaTheme="minorEastAsia" w:hAnsiTheme="minorHAnsi" w:cstheme="minorBidi"/>
              <w:noProof/>
              <w:color w:val="auto"/>
              <w:kern w:val="2"/>
              <w:sz w:val="24"/>
              <w:szCs w:val="24"/>
              <w14:ligatures w14:val="standardContextual"/>
            </w:rPr>
          </w:pPr>
          <w:hyperlink w:anchor="_Toc232001098" w:history="1">
            <w:r>
              <w:rPr>
                <w:rStyle w:val="Hyperlink"/>
                <w:noProof/>
              </w:rPr>
              <w:t>5. Compliance and Implementation Strategy</w:t>
            </w:r>
            <w:r>
              <w:rPr>
                <w:noProof/>
              </w:rPr>
              <w:tab/>
              <w:fldChar w:fldCharType="begin"/>
              <w:instrText xml:space="preserve"> PAGEREF _Toc232001098 \h </w:instrText>
              <w:fldChar w:fldCharType="separate"/>
              <w:t>23</w:t>
              <w:fldChar w:fldCharType="end"/>
            </w:r>
          </w:hyperlink>
        </w:p>
        <w:p w14:paraId="620519B1" w14:textId="2E6376BD" w:rsidR="00AF4301" w:rsidRDefault="00AF4301">
          <w:pPr>
            <w:pStyle w:val="TOC2"/>
            <w:tabs>
              <w:tab w:val="right" w:leader="dot" w:pos="8656"/>
            </w:tabs>
            <w:rPr>
              <w:rFonts w:asciiTheme="minorHAnsi" w:eastAsiaTheme="minorEastAsia" w:hAnsiTheme="minorHAnsi" w:cstheme="minorBidi"/>
              <w:noProof/>
              <w:color w:val="auto"/>
              <w:kern w:val="2"/>
              <w:sz w:val="24"/>
              <w:szCs w:val="24"/>
              <w14:ligatures w14:val="standardContextual"/>
            </w:rPr>
          </w:pPr>
          <w:hyperlink w:anchor="_Toc232001099" w:history="1">
            <w:r>
              <w:rPr>
                <w:rStyle w:val="Hyperlink"/>
                <w:noProof/>
              </w:rPr>
              <w:t>5.1  Compliance Baseline: Mandatory and Priority Requirements</w:t>
            </w:r>
            <w:r>
              <w:rPr>
                <w:noProof/>
              </w:rPr>
              <w:tab/>
              <w:fldChar w:fldCharType="begin"/>
              <w:instrText xml:space="preserve"> PAGEREF _Toc232001099 \h </w:instrText>
              <w:fldChar w:fldCharType="separate"/>
              <w:t>23</w:t>
              <w:fldChar w:fldCharType="end"/>
            </w:r>
          </w:hyperlink>
        </w:p>
        <w:p w14:paraId="78B78F23" w14:textId="7A767ACC" w:rsidR="00AF4301" w:rsidRDefault="00AF4301">
          <w:pPr>
            <w:pStyle w:val="TOC2"/>
            <w:tabs>
              <w:tab w:val="right" w:leader="dot" w:pos="8656"/>
            </w:tabs>
            <w:rPr>
              <w:rFonts w:asciiTheme="minorHAnsi" w:eastAsiaTheme="minorEastAsia" w:hAnsiTheme="minorHAnsi" w:cstheme="minorBidi"/>
              <w:noProof/>
              <w:color w:val="auto"/>
              <w:kern w:val="2"/>
              <w:sz w:val="24"/>
              <w:szCs w:val="24"/>
              <w14:ligatures w14:val="standardContextual"/>
            </w:rPr>
          </w:pPr>
          <w:hyperlink w:anchor="_Toc232001100" w:history="1">
            <w:r>
              <w:rPr>
                <w:rStyle w:val="Hyperlink"/>
                <w:noProof/>
              </w:rPr>
              <w:t>5.2  Phased Implementation Logic</w:t>
            </w:r>
            <w:r>
              <w:rPr>
                <w:noProof/>
              </w:rPr>
              <w:tab/>
              <w:fldChar w:fldCharType="begin"/>
              <w:instrText xml:space="preserve"> PAGEREF _Toc232001100 \h </w:instrText>
              <w:fldChar w:fldCharType="separate"/>
              <w:t>24</w:t>
              <w:fldChar w:fldCharType="end"/>
            </w:r>
          </w:hyperlink>
        </w:p>
        <w:p w14:paraId="34FB2AE0" w14:textId="15EA4BA9" w:rsidR="00AF4301" w:rsidRDefault="00AF4301">
          <w:pPr>
            <w:pStyle w:val="TOC2"/>
            <w:tabs>
              <w:tab w:val="right" w:leader="dot" w:pos="8656"/>
            </w:tabs>
            <w:rPr>
              <w:rFonts w:asciiTheme="minorHAnsi" w:eastAsiaTheme="minorEastAsia" w:hAnsiTheme="minorHAnsi" w:cstheme="minorBidi"/>
              <w:noProof/>
              <w:color w:val="auto"/>
              <w:kern w:val="2"/>
              <w:sz w:val="24"/>
              <w:szCs w:val="24"/>
              <w14:ligatures w14:val="standardContextual"/>
            </w:rPr>
          </w:pPr>
          <w:hyperlink w:anchor="_Toc232001101" w:history="1">
            <w:r>
              <w:rPr>
                <w:rStyle w:val="Hyperlink"/>
                <w:noProof/>
              </w:rPr>
              <w:t>5.3  System Architecture Requirements: ESPR Alignment and Interoperability</w:t>
            </w:r>
            <w:r>
              <w:rPr>
                <w:noProof/>
              </w:rPr>
              <w:tab/>
              <w:fldChar w:fldCharType="begin"/>
              <w:instrText xml:space="preserve"> PAGEREF _Toc232001101 \h </w:instrText>
              <w:fldChar w:fldCharType="separate"/>
              <w:t>25</w:t>
              <w:fldChar w:fldCharType="end"/>
            </w:r>
          </w:hyperlink>
        </w:p>
        <w:p w14:paraId="22A8A247" w14:textId="4283932C" w:rsidR="00AF4301" w:rsidRDefault="00AF4301">
          <w:pPr>
            <w:pStyle w:val="TOC2"/>
            <w:tabs>
              <w:tab w:val="right" w:leader="dot" w:pos="8656"/>
            </w:tabs>
            <w:rPr>
              <w:rFonts w:asciiTheme="minorHAnsi" w:eastAsiaTheme="minorEastAsia" w:hAnsiTheme="minorHAnsi" w:cstheme="minorBidi"/>
              <w:noProof/>
              <w:color w:val="auto"/>
              <w:kern w:val="2"/>
              <w:sz w:val="24"/>
              <w:szCs w:val="24"/>
              <w14:ligatures w14:val="standardContextual"/>
            </w:rPr>
          </w:pPr>
          <w:hyperlink w:anchor="_Toc232001102" w:history="1">
            <w:r>
              <w:rPr>
                <w:rStyle w:val="Hyperlink"/>
                <w:noProof/>
              </w:rPr>
              <w:t>5.4  WP2: The Molecular Reference Database</w:t>
            </w:r>
            <w:r>
              <w:rPr>
                <w:noProof/>
              </w:rPr>
              <w:tab/>
              <w:fldChar w:fldCharType="begin"/>
              <w:instrText xml:space="preserve"> PAGEREF _Toc232001102 \h </w:instrText>
              <w:fldChar w:fldCharType="separate"/>
              <w:t>25</w:t>
              <w:fldChar w:fldCharType="end"/>
            </w:r>
          </w:hyperlink>
        </w:p>
        <w:p w14:paraId="3A663B89" w14:textId="5DA70A85" w:rsidR="00AF4301" w:rsidRDefault="00AF4301">
          <w:pPr>
            <w:pStyle w:val="TOC2"/>
            <w:tabs>
              <w:tab w:val="right" w:leader="dot" w:pos="8656"/>
            </w:tabs>
            <w:rPr>
              <w:rFonts w:asciiTheme="minorHAnsi" w:eastAsiaTheme="minorEastAsia" w:hAnsiTheme="minorHAnsi" w:cstheme="minorBidi"/>
              <w:noProof/>
              <w:color w:val="auto"/>
              <w:kern w:val="2"/>
              <w:sz w:val="24"/>
              <w:szCs w:val="24"/>
              <w14:ligatures w14:val="standardContextual"/>
            </w:rPr>
          </w:pPr>
          <w:hyperlink w:anchor="_Toc232001103" w:history="1">
            <w:r>
              <w:rPr>
                <w:rStyle w:val="Hyperlink"/>
                <w:noProof/>
              </w:rPr>
              <w:t>5.5  WP3: DPP Software and API Layer</w:t>
            </w:r>
            <w:r>
              <w:rPr>
                <w:noProof/>
              </w:rPr>
              <w:tab/>
              <w:fldChar w:fldCharType="begin"/>
              <w:instrText xml:space="preserve"> PAGEREF _Toc232001103 \h </w:instrText>
              <w:fldChar w:fldCharType="separate"/>
              <w:t>27</w:t>
              <w:fldChar w:fldCharType="end"/>
            </w:r>
          </w:hyperlink>
        </w:p>
        <w:p w14:paraId="7F06C404" w14:textId="28E2FC47" w:rsidR="00AF4301" w:rsidRDefault="00AF4301">
          <w:pPr>
            <w:pStyle w:val="TOC2"/>
            <w:tabs>
              <w:tab w:val="right" w:leader="dot" w:pos="8656"/>
            </w:tabs>
            <w:rPr>
              <w:rFonts w:asciiTheme="minorHAnsi" w:eastAsiaTheme="minorEastAsia" w:hAnsiTheme="minorHAnsi" w:cstheme="minorBidi"/>
              <w:noProof/>
              <w:color w:val="auto"/>
              <w:kern w:val="2"/>
              <w:sz w:val="24"/>
              <w:szCs w:val="24"/>
              <w14:ligatures w14:val="standardContextual"/>
            </w:rPr>
          </w:pPr>
          <w:hyperlink w:anchor="_Toc232001104" w:history="1">
            <w:r>
              <w:rPr>
                <w:rStyle w:val="Hyperlink"/>
                <w:noProof/>
              </w:rPr>
              <w:t>5.6  Risk Areas and Mitigation</w:t>
            </w:r>
            <w:r>
              <w:rPr>
                <w:noProof/>
              </w:rPr>
              <w:tab/>
              <w:fldChar w:fldCharType="begin"/>
              <w:instrText xml:space="preserve"> PAGEREF _Toc232001104 \h </w:instrText>
              <w:fldChar w:fldCharType="separate"/>
              <w:t>27</w:t>
              <w:fldChar w:fldCharType="end"/>
            </w:r>
          </w:hyperlink>
        </w:p>
        <w:p w14:paraId="419AD812" w14:textId="1CDF12CF" w:rsidR="00AF4301" w:rsidRDefault="00AF4301">
          <w:pPr>
            <w:pStyle w:val="TOC1"/>
            <w:tabs>
              <w:tab w:val="right" w:leader="dot" w:pos="8656"/>
            </w:tabs>
            <w:rPr>
              <w:rFonts w:asciiTheme="minorHAnsi" w:eastAsiaTheme="minorEastAsia" w:hAnsiTheme="minorHAnsi" w:cstheme="minorBidi"/>
              <w:noProof/>
              <w:color w:val="auto"/>
              <w:kern w:val="2"/>
              <w:sz w:val="24"/>
              <w:szCs w:val="24"/>
              <w14:ligatures w14:val="standardContextual"/>
            </w:rPr>
          </w:pPr>
          <w:hyperlink w:anchor="_Toc232001105" w:history="1">
            <w:r>
              <w:rPr>
                <w:rStyle w:val="Hyperlink"/>
                <w:noProof/>
              </w:rPr>
              <w:t>6. Conclusions</w:t>
            </w:r>
            <w:r>
              <w:rPr>
                <w:noProof/>
              </w:rPr>
              <w:tab/>
              <w:fldChar w:fldCharType="begin"/>
              <w:instrText xml:space="preserve"> PAGEREF _Toc232001105 \h </w:instrText>
              <w:fldChar w:fldCharType="separate"/>
              <w:t>28</w:t>
              <w:fldChar w:fldCharType="end"/>
            </w:r>
          </w:hyperlink>
        </w:p>
        <w:p w14:paraId="6C6005B9" w14:textId="4231E83A" w:rsidR="00AF4301" w:rsidRDefault="00AF4301">
          <w:pPr>
            <w:pStyle w:val="TOC2"/>
            <w:tabs>
              <w:tab w:val="right" w:leader="dot" w:pos="8656"/>
            </w:tabs>
            <w:rPr>
              <w:rFonts w:asciiTheme="minorHAnsi" w:eastAsiaTheme="minorEastAsia" w:hAnsiTheme="minorHAnsi" w:cstheme="minorBidi"/>
              <w:noProof/>
              <w:color w:val="auto"/>
              <w:kern w:val="2"/>
              <w:sz w:val="24"/>
              <w:szCs w:val="24"/>
              <w14:ligatures w14:val="standardContextual"/>
            </w:rPr>
          </w:pPr>
          <w:hyperlink w:anchor="_Toc232001106" w:history="1">
            <w:r>
              <w:rPr>
                <w:rStyle w:val="Hyperlink"/>
                <w:noProof/>
              </w:rPr>
              <w:t>6.1  Principal Findings</w:t>
            </w:r>
            <w:r>
              <w:rPr>
                <w:noProof/>
              </w:rPr>
              <w:tab/>
              <w:fldChar w:fldCharType="begin"/>
              <w:instrText xml:space="preserve"> PAGEREF _Toc232001106 \h </w:instrText>
              <w:fldChar w:fldCharType="separate"/>
              <w:t>28</w:t>
              <w:fldChar w:fldCharType="end"/>
            </w:r>
          </w:hyperlink>
        </w:p>
        <w:p w14:paraId="3AC88C95" w14:textId="0AD12A88" w:rsidR="00AF4301" w:rsidRDefault="00AF4301">
          <w:pPr>
            <w:pStyle w:val="TOC2"/>
            <w:tabs>
              <w:tab w:val="right" w:leader="dot" w:pos="8656"/>
            </w:tabs>
            <w:rPr>
              <w:rFonts w:asciiTheme="minorHAnsi" w:eastAsiaTheme="minorEastAsia" w:hAnsiTheme="minorHAnsi" w:cstheme="minorBidi"/>
              <w:noProof/>
              <w:color w:val="auto"/>
              <w:kern w:val="2"/>
              <w:sz w:val="24"/>
              <w:szCs w:val="24"/>
              <w14:ligatures w14:val="standardContextual"/>
            </w:rPr>
          </w:pPr>
          <w:hyperlink w:anchor="_Toc232001107" w:history="1">
            <w:r>
              <w:rPr>
                <w:rStyle w:val="Hyperlink"/>
                <w:noProof/>
              </w:rPr>
              <w:t>6.2  Key Implementation Gaps</w:t>
            </w:r>
            <w:r>
              <w:rPr>
                <w:noProof/>
              </w:rPr>
              <w:tab/>
              <w:fldChar w:fldCharType="begin"/>
              <w:instrText xml:space="preserve"> PAGEREF _Toc232001107 \h </w:instrText>
              <w:fldChar w:fldCharType="separate"/>
              <w:t>30</w:t>
              <w:fldChar w:fldCharType="end"/>
            </w:r>
          </w:hyperlink>
        </w:p>
        <w:p w14:paraId="3AC60C11" w14:textId="1FC8A961" w:rsidR="00AF4301" w:rsidRDefault="00AF4301">
          <w:pPr>
            <w:pStyle w:val="TOC2"/>
            <w:tabs>
              <w:tab w:val="right" w:leader="dot" w:pos="8656"/>
            </w:tabs>
            <w:rPr>
              <w:rFonts w:asciiTheme="minorHAnsi" w:eastAsiaTheme="minorEastAsia" w:hAnsiTheme="minorHAnsi" w:cstheme="minorBidi"/>
              <w:noProof/>
              <w:color w:val="auto"/>
              <w:kern w:val="2"/>
              <w:sz w:val="24"/>
              <w:szCs w:val="24"/>
              <w14:ligatures w14:val="standardContextual"/>
            </w:rPr>
          </w:pPr>
          <w:hyperlink w:anchor="_Toc232001108" w:history="1">
            <w:r>
              <w:rPr>
                <w:rStyle w:val="Hyperlink"/>
                <w:noProof/>
              </w:rPr>
              <w:t>6.3  Next Steps</w:t>
            </w:r>
            <w:r>
              <w:rPr>
                <w:noProof/>
              </w:rPr>
              <w:tab/>
              <w:fldChar w:fldCharType="begin"/>
              <w:instrText xml:space="preserve"> PAGEREF _Toc232001108 \h </w:instrText>
              <w:fldChar w:fldCharType="separate"/>
              <w:t>30</w:t>
              <w:fldChar w:fldCharType="end"/>
            </w:r>
          </w:hyperlink>
        </w:p>
        <w:p w14:paraId="5AC9BD25" w14:textId="313524E9" w:rsidR="00AF4301" w:rsidRDefault="00AF4301">
          <w:pPr>
            <w:pStyle w:val="TOC1"/>
            <w:tabs>
              <w:tab w:val="right" w:leader="dot" w:pos="8656"/>
            </w:tabs>
            <w:rPr>
              <w:rFonts w:asciiTheme="minorHAnsi" w:eastAsiaTheme="minorEastAsia" w:hAnsiTheme="minorHAnsi" w:cstheme="minorBidi"/>
              <w:noProof/>
              <w:color w:val="auto"/>
              <w:kern w:val="2"/>
              <w:sz w:val="24"/>
              <w:szCs w:val="24"/>
              <w14:ligatures w14:val="standardContextual"/>
            </w:rPr>
          </w:pPr>
          <w:hyperlink w:anchor="_Toc232001109" w:history="1">
            <w:r>
              <w:rPr>
                <w:rStyle w:val="Hyperlink"/>
                <w:noProof/>
              </w:rPr>
              <w:t>Annex: Technical Implementation Questions</w:t>
            </w:r>
            <w:r>
              <w:rPr>
                <w:noProof/>
              </w:rPr>
              <w:tab/>
              <w:fldChar w:fldCharType="begin"/>
              <w:instrText xml:space="preserve"> PAGEREF _Toc232001109 \h </w:instrText>
              <w:fldChar w:fldCharType="separate"/>
              <w:t>32</w:t>
              <w:fldChar w:fldCharType="end"/>
            </w:r>
          </w:hyperlink>
        </w:p>
        <w:p w14:paraId="086A0D89" w14:textId="4A103F0D" w:rsidR="00AF4301" w:rsidRDefault="00AF4301">
          <w:pPr>
            <w:pStyle w:val="TOC2"/>
            <w:tabs>
              <w:tab w:val="right" w:leader="dot" w:pos="8656"/>
            </w:tabs>
            <w:rPr>
              <w:rFonts w:asciiTheme="minorHAnsi" w:eastAsiaTheme="minorEastAsia" w:hAnsiTheme="minorHAnsi" w:cstheme="minorBidi"/>
              <w:noProof/>
              <w:color w:val="auto"/>
              <w:kern w:val="2"/>
              <w:sz w:val="24"/>
              <w:szCs w:val="24"/>
              <w14:ligatures w14:val="standardContextual"/>
            </w:rPr>
          </w:pPr>
          <w:hyperlink w:anchor="_Toc232001110" w:history="1">
            <w:r>
              <w:rPr>
                <w:rStyle w:val="Hyperlink"/>
                <w:noProof/>
              </w:rPr>
              <w:t>A.1  Granularity: Model, Batch, and Item Level</w:t>
            </w:r>
            <w:r>
              <w:rPr>
                <w:noProof/>
              </w:rPr>
              <w:tab/>
              <w:fldChar w:fldCharType="begin"/>
              <w:instrText xml:space="preserve"> PAGEREF _Toc232001110 \h </w:instrText>
              <w:fldChar w:fldCharType="separate"/>
              <w:t>32</w:t>
              <w:fldChar w:fldCharType="end"/>
            </w:r>
          </w:hyperlink>
        </w:p>
        <w:p w14:paraId="6795F31F" w14:textId="47290355" w:rsidR="00AF4301" w:rsidRDefault="00AF4301">
          <w:pPr>
            <w:pStyle w:val="TOC2"/>
            <w:tabs>
              <w:tab w:val="right" w:leader="dot" w:pos="8656"/>
            </w:tabs>
            <w:rPr>
              <w:rFonts w:asciiTheme="minorHAnsi" w:eastAsiaTheme="minorEastAsia" w:hAnsiTheme="minorHAnsi" w:cstheme="minorBidi"/>
              <w:noProof/>
              <w:color w:val="auto"/>
              <w:kern w:val="2"/>
              <w:sz w:val="24"/>
              <w:szCs w:val="24"/>
              <w14:ligatures w14:val="standardContextual"/>
            </w:rPr>
          </w:pPr>
          <w:hyperlink w:anchor="_Toc232001111" w:history="1">
            <w:r>
              <w:rPr>
                <w:rStyle w:val="Hyperlink"/>
                <w:noProof/>
              </w:rPr>
              <w:t>A.2  Definition of “Model Level”: Colour and Size</w:t>
            </w:r>
            <w:r>
              <w:rPr>
                <w:noProof/>
              </w:rPr>
              <w:tab/>
              <w:fldChar w:fldCharType="begin"/>
              <w:instrText xml:space="preserve"> PAGEREF _Toc232001111 \h </w:instrText>
              <w:fldChar w:fldCharType="separate"/>
              <w:t>32</w:t>
              <w:fldChar w:fldCharType="end"/>
            </w:r>
          </w:hyperlink>
        </w:p>
        <w:p w14:paraId="7E9CC87F" w14:textId="20BB1932" w:rsidR="00AF4301" w:rsidRDefault="00AF4301">
          <w:pPr>
            <w:pStyle w:val="TOC2"/>
            <w:tabs>
              <w:tab w:val="right" w:leader="dot" w:pos="8656"/>
            </w:tabs>
            <w:rPr>
              <w:rFonts w:asciiTheme="minorHAnsi" w:eastAsiaTheme="minorEastAsia" w:hAnsiTheme="minorHAnsi" w:cstheme="minorBidi"/>
              <w:noProof/>
              <w:color w:val="auto"/>
              <w:kern w:val="2"/>
              <w:sz w:val="24"/>
              <w:szCs w:val="24"/>
              <w14:ligatures w14:val="standardContextual"/>
            </w:rPr>
          </w:pPr>
          <w:hyperlink w:anchor="_Toc232001112" w:history="1">
            <w:r>
              <w:rPr>
                <w:rStyle w:val="Hyperlink"/>
                <w:noProof/>
              </w:rPr>
              <w:t>A.3  Unique Identification: Products, Operators, and Facilities</w:t>
            </w:r>
            <w:r>
              <w:rPr>
                <w:noProof/>
              </w:rPr>
              <w:tab/>
              <w:fldChar w:fldCharType="begin"/>
              <w:instrText xml:space="preserve"> PAGEREF _Toc232001112 \h </w:instrText>
              <w:fldChar w:fldCharType="separate"/>
              <w:t>33</w:t>
              <w:fldChar w:fldCharType="end"/>
            </w:r>
          </w:hyperlink>
        </w:p>
        <w:p w14:paraId="5FC4A0FA" w14:textId="6BFA54CD" w:rsidR="00AF4301" w:rsidRDefault="00AF4301">
          <w:pPr>
            <w:pStyle w:val="TOC2"/>
            <w:tabs>
              <w:tab w:val="right" w:leader="dot" w:pos="8656"/>
            </w:tabs>
            <w:rPr>
              <w:rFonts w:asciiTheme="minorHAnsi" w:eastAsiaTheme="minorEastAsia" w:hAnsiTheme="minorHAnsi" w:cstheme="minorBidi"/>
              <w:noProof/>
              <w:color w:val="auto"/>
              <w:kern w:val="2"/>
              <w:sz w:val="24"/>
              <w:szCs w:val="24"/>
              <w14:ligatures w14:val="standardContextual"/>
            </w:rPr>
          </w:pPr>
          <w:hyperlink w:anchor="_Toc232001113" w:history="1">
            <w:r>
              <w:rPr>
                <w:rStyle w:val="Hyperlink"/>
                <w:noProof/>
              </w:rPr>
              <w:t>A.4  Data Carriers</w:t>
            </w:r>
            <w:r>
              <w:rPr>
                <w:noProof/>
              </w:rPr>
              <w:tab/>
              <w:fldChar w:fldCharType="begin"/>
              <w:instrText xml:space="preserve"> PAGEREF _Toc232001113 \h </w:instrText>
              <w:fldChar w:fldCharType="separate"/>
              <w:t>33</w:t>
              <w:fldChar w:fldCharType="end"/>
            </w:r>
          </w:hyperlink>
        </w:p>
        <w:p w14:paraId="156085CB" w14:textId="36C0FA72" w:rsidR="00AF4301" w:rsidRDefault="00AF4301">
          <w:pPr>
            <w:pStyle w:val="TOC2"/>
            <w:tabs>
              <w:tab w:val="right" w:leader="dot" w:pos="8656"/>
            </w:tabs>
            <w:rPr>
              <w:rFonts w:asciiTheme="minorHAnsi" w:eastAsiaTheme="minorEastAsia" w:hAnsiTheme="minorHAnsi" w:cstheme="minorBidi"/>
              <w:noProof/>
              <w:color w:val="auto"/>
              <w:kern w:val="2"/>
              <w:sz w:val="24"/>
              <w:szCs w:val="24"/>
              <w14:ligatures w14:val="standardContextual"/>
            </w:rPr>
          </w:pPr>
          <w:hyperlink w:anchor="_Toc232001114" w:history="1">
            <w:r>
              <w:rPr>
                <w:rStyle w:val="Hyperlink"/>
                <w:noProof/>
              </w:rPr>
              <w:t>A.5  Standards, Formats, and APIs</w:t>
            </w:r>
            <w:r>
              <w:rPr>
                <w:noProof/>
              </w:rPr>
              <w:tab/>
              <w:fldChar w:fldCharType="begin"/>
              <w:instrText xml:space="preserve"> PAGEREF _Toc232001114 \h </w:instrText>
              <w:fldChar w:fldCharType="separate"/>
              <w:t>33</w:t>
              <w:fldChar w:fldCharType="end"/>
            </w:r>
          </w:hyperlink>
        </w:p>
        <w:p w14:paraId="32F97099" w14:textId="620DF1B7" w:rsidR="00AF4301" w:rsidRDefault="00AF4301">
          <w:pPr>
            <w:pStyle w:val="TOC2"/>
            <w:tabs>
              <w:tab w:val="right" w:leader="dot" w:pos="8656"/>
            </w:tabs>
            <w:rPr>
              <w:rFonts w:asciiTheme="minorHAnsi" w:eastAsiaTheme="minorEastAsia" w:hAnsiTheme="minorHAnsi" w:cstheme="minorBidi"/>
              <w:noProof/>
              <w:color w:val="auto"/>
              <w:kern w:val="2"/>
              <w:sz w:val="24"/>
              <w:szCs w:val="24"/>
              <w14:ligatures w14:val="standardContextual"/>
            </w:rPr>
          </w:pPr>
          <w:hyperlink w:anchor="_Toc232001115" w:history="1">
            <w:r>
              <w:rPr>
                <w:rStyle w:val="Hyperlink"/>
                <w:noProof/>
              </w:rPr>
              <w:t>A.6  Fibre Composition: How It Works in a DPP Context</w:t>
            </w:r>
            <w:r>
              <w:rPr>
                <w:noProof/>
              </w:rPr>
              <w:tab/>
              <w:fldChar w:fldCharType="begin"/>
              <w:instrText xml:space="preserve"> PAGEREF _Toc232001115 \h </w:instrText>
              <w:fldChar w:fldCharType="separate"/>
              <w:t>34</w:t>
              <w:fldChar w:fldCharType="end"/>
            </w:r>
          </w:hyperlink>
        </w:p>
        <w:p w14:paraId="26616BBC" w14:textId="0CDDA15B" w:rsidR="00AF4301" w:rsidRDefault="00AF4301">
          <w:pPr>
            <w:pStyle w:val="TOC2"/>
            <w:tabs>
              <w:tab w:val="right" w:leader="dot" w:pos="8656"/>
            </w:tabs>
            <w:rPr>
              <w:rFonts w:asciiTheme="minorHAnsi" w:eastAsiaTheme="minorEastAsia" w:hAnsiTheme="minorHAnsi" w:cstheme="minorBidi"/>
              <w:noProof/>
              <w:color w:val="auto"/>
              <w:kern w:val="2"/>
              <w:sz w:val="24"/>
              <w:szCs w:val="24"/>
              <w14:ligatures w14:val="standardContextual"/>
            </w:rPr>
          </w:pPr>
          <w:hyperlink w:anchor="_Toc232001116" w:history="1">
            <w:r>
              <w:rPr>
                <w:rStyle w:val="Hyperlink"/>
                <w:noProof/>
              </w:rPr>
              <w:t>A.7  Certifications and Test Reports</w:t>
            </w:r>
            <w:r>
              <w:rPr>
                <w:noProof/>
              </w:rPr>
              <w:tab/>
              <w:fldChar w:fldCharType="begin"/>
              <w:instrText xml:space="preserve"> PAGEREF _Toc232001116 \h </w:instrText>
              <w:fldChar w:fldCharType="separate"/>
              <w:t>34</w:t>
              <w:fldChar w:fldCharType="end"/>
            </w:r>
          </w:hyperlink>
        </w:p>
        <w:p w14:paraId="026ED016" w14:textId="3825A01C" w:rsidR="00AF4301" w:rsidRDefault="00AF4301">
          <w:pPr>
            <w:pStyle w:val="TOC2"/>
            <w:tabs>
              <w:tab w:val="right" w:leader="dot" w:pos="8656"/>
            </w:tabs>
            <w:rPr>
              <w:rFonts w:asciiTheme="minorHAnsi" w:eastAsiaTheme="minorEastAsia" w:hAnsiTheme="minorHAnsi" w:cstheme="minorBidi"/>
              <w:noProof/>
              <w:color w:val="auto"/>
              <w:kern w:val="2"/>
              <w:sz w:val="24"/>
              <w:szCs w:val="24"/>
              <w14:ligatures w14:val="standardContextual"/>
            </w:rPr>
          </w:pPr>
          <w:hyperlink w:anchor="_Toc232001117" w:history="1">
            <w:r>
              <w:rPr>
                <w:rStyle w:val="Hyperlink"/>
                <w:noProof/>
              </w:rPr>
              <w:t>A.8  Tier 2 and Tier 3 Visibility (Fabric, Yarn, Fibre Components)</w:t>
            </w:r>
            <w:r>
              <w:rPr>
                <w:noProof/>
              </w:rPr>
              <w:tab/>
              <w:fldChar w:fldCharType="begin"/>
              <w:instrText xml:space="preserve"> PAGEREF _Toc232001117 \h </w:instrText>
              <w:fldChar w:fldCharType="separate"/>
              <w:t>35</w:t>
              <w:fldChar w:fldCharType="end"/>
            </w:r>
          </w:hyperlink>
        </w:p>
        <w:p w14:paraId="703185BA" w14:textId="3574B7F8" w:rsidR="00AF4301" w:rsidRDefault="00AF4301">
          <w:pPr>
            <w:pStyle w:val="TOC2"/>
            <w:tabs>
              <w:tab w:val="right" w:leader="dot" w:pos="8656"/>
            </w:tabs>
            <w:rPr>
              <w:rFonts w:asciiTheme="minorHAnsi" w:eastAsiaTheme="minorEastAsia" w:hAnsiTheme="minorHAnsi" w:cstheme="minorBidi"/>
              <w:noProof/>
              <w:color w:val="auto"/>
              <w:kern w:val="2"/>
              <w:sz w:val="24"/>
              <w:szCs w:val="24"/>
              <w14:ligatures w14:val="standardContextual"/>
            </w:rPr>
          </w:pPr>
          <w:hyperlink w:anchor="_Toc232001118" w:history="1">
            <w:r>
              <w:rPr>
                <w:rStyle w:val="Hyperlink"/>
                <w:noProof/>
              </w:rPr>
              <w:t>A.9  Access Rights: Public and Private Data</w:t>
            </w:r>
            <w:r>
              <w:rPr>
                <w:noProof/>
              </w:rPr>
              <w:tab/>
              <w:fldChar w:fldCharType="begin"/>
              <w:instrText xml:space="preserve"> PAGEREF _Toc232001118 \h </w:instrText>
              <w:fldChar w:fldCharType="separate"/>
              <w:t>35</w:t>
              <w:fldChar w:fldCharType="end"/>
            </w:r>
          </w:hyperlink>
        </w:p>
        <w:p w14:paraId="36E41115" w14:textId="13BABD73" w:rsidR="00AF4301" w:rsidRDefault="00AF4301">
          <w:pPr>
            <w:pStyle w:val="TOC2"/>
            <w:tabs>
              <w:tab w:val="right" w:leader="dot" w:pos="8656"/>
            </w:tabs>
            <w:rPr>
              <w:rFonts w:asciiTheme="minorHAnsi" w:eastAsiaTheme="minorEastAsia" w:hAnsiTheme="minorHAnsi" w:cstheme="minorBidi"/>
              <w:noProof/>
              <w:color w:val="auto"/>
              <w:kern w:val="2"/>
              <w:sz w:val="24"/>
              <w:szCs w:val="24"/>
              <w14:ligatures w14:val="standardContextual"/>
            </w:rPr>
          </w:pPr>
          <w:hyperlink w:anchor="_Toc232001119" w:history="1">
            <w:r>
              <w:rPr>
                <w:rStyle w:val="Hyperlink"/>
                <w:noProof/>
              </w:rPr>
              <w:t>A.10  Credentials: Issuance, Role Assignment, and Actor Categories</w:t>
            </w:r>
            <w:r>
              <w:rPr>
                <w:noProof/>
              </w:rPr>
              <w:tab/>
              <w:fldChar w:fldCharType="begin"/>
              <w:instrText xml:space="preserve"> PAGEREF _Toc232001119 \h </w:instrText>
              <w:fldChar w:fldCharType="separate"/>
              <w:t>36</w:t>
              <w:fldChar w:fldCharType="end"/>
            </w:r>
          </w:hyperlink>
        </w:p>
        <w:p w14:paraId="66701B3B" w14:textId="46D6AD6B" w:rsidR="00AF4301" w:rsidRDefault="00AF4301">
          <w:pPr>
            <w:pStyle w:val="TOC1"/>
            <w:tabs>
              <w:tab w:val="right" w:leader="dot" w:pos="8656"/>
            </w:tabs>
            <w:rPr>
              <w:rFonts w:asciiTheme="minorHAnsi" w:eastAsiaTheme="minorEastAsia" w:hAnsiTheme="minorHAnsi" w:cstheme="minorBidi"/>
              <w:noProof/>
              <w:color w:val="auto"/>
              <w:kern w:val="2"/>
              <w:sz w:val="24"/>
              <w:szCs w:val="24"/>
              <w14:ligatures w14:val="standardContextual"/>
            </w:rPr>
          </w:pPr>
          <w:hyperlink w:anchor="_Toc232001120" w:history="1">
            <w:r>
              <w:rPr>
                <w:rStyle w:val="Hyperlink"/>
                <w:noProof/>
              </w:rPr>
              <w:t>References</w:t>
            </w:r>
            <w:r>
              <w:rPr>
                <w:noProof/>
              </w:rPr>
              <w:tab/>
              <w:fldChar w:fldCharType="begin"/>
              <w:instrText xml:space="preserve"> PAGEREF _Toc232001120 \h </w:instrText>
              <w:fldChar w:fldCharType="separate"/>
              <w:t>36</w:t>
              <w:fldChar w:fldCharType="end"/>
            </w:r>
          </w:hyperlink>
        </w:p>
        <w:p w14:paraId="5F8E8EC0" w14:textId="75D1A702" w:rsidR="00CB0F61" w:rsidRDefault="0084011A">
          <w:r>
            <w:fldChar w:fldCharType="end"/>
          </w:r>
        </w:p>
      </w:sdtContent>
    </w:sdt>
    <w:p w14:paraId="5F8E8EC1" w14:textId="77777777" w:rsidR="00CB0F61" w:rsidRDefault="0084011A">
      <w:r>
        <w:br w:type="page"/>
      </w:r>
    </w:p>
    <w:p w14:paraId="5F8E8EC2" w14:textId="77777777" w:rsidR="00CB0F61" w:rsidRDefault="0084011A">
      <w:pPr>
        <w:pStyle w:val="Heading1"/>
        <w:pBdr>
          <w:bottom w:val="single" w:sz="4" w:space="4" w:color="1F4E79"/>
        </w:pBdr>
      </w:pPr>
      <w:bookmarkStart w:id="0" w:name="_Toc232001066"/>
      <w:r>
        <w:lastRenderedPageBreak/>
        <w:t>1. Introduction</w:t>
      </w:r>
      <w:bookmarkEnd w:id="0"/>
    </w:p>
    <w:p w14:paraId="5F8E8EC3" w14:textId="1CF1D25B" w:rsidR="00CB0F61" w:rsidRDefault="0084011A" w:rsidP="00D24E5F">
      <w:r>
        <w:t xml:space="preserve">This report constitutes the first major deliverable of Work Package 1 (WP1) of the M-DPP project — Molecular Digital Product Passports: a 24-month applied research project funded by Regieorgaan SIA and carried out by Fashion Research &amp; Technology at the Amsterdam University of Applied Sciences (HvA FR&amp;T) together with HAN University of Applied Sciences (CoE HAN BioCentre), in consortium with partners in software development, and textile industry practice. The M-DPP project investigates the application of molecular fibre characterisation as a persistent, tamper-evident identifier within the Digital Product Passport framework for textile products. Its central proposition is that molecular-level composition data — generated through techniques such as FTIR, LC-MS, and GC-MS — can serve as a form of ground-truth verification for fibre composition claims made within a DPP, addressing a structural weakness in current disclosure regimes: the gap between what is declared and what is independently evidenced.</w:t>
      </w:r>
    </w:p>
    <w:p w14:paraId="1A000001" w14:textId="77777777" w:rsidR="00CB0F61" w:rsidRDefault="0084011A" w:rsidP="00D24E5F">
      <w:r>
        <w:t>The purpose of this report is to establish the regulatory and stakeholder-validated requirements that the M-DPP system must address. It does so by integrating three evidence streams: a structured review of the EU regulatory framework governing DPPs under the Ecodesign for Sustainable Products Regulation (ESPR); an analysis of the current implementation landscape in the EU and the Netherlands; and the findings of a Delphi stakeholder consultation conducted with practitioners from across the textile value chain. Together, these streams provide the evidence base for the compliance and implementation strategy set out in Section 5, and for the design recommendations directed at WP2 (the molecular reference database) and WP3 (the software and API layer).</w:t>
      </w:r>
    </w:p>
    <w:p w14:paraId="65A1785C" w14:textId="77777777" w:rsidR="00DB4DE5" w:rsidRDefault="00DB4DE5" w:rsidP="001E015B">
      <w:r>
        <w:t>The regulatory landscape for textile DPPs is actively evolving. The ESPR entered into force in July 2024 and identified textiles as the top priority product group in the first ESPR Working Plan 2025–2030. The JRC preparatory study for the textile delegated act was underway at the time of writing, with the act itself described as tentatively anticipated in 2027 (González-Torres &amp; Arcipowska, 2026); whether this marks the act's adoption or its entry into application, and what transition period will apply to textile operators, has not yet been specified. This report therefore operates on two levels simultaneously: it describes what the regulatory framework currently establishes with certainty, and it maps the open questions — on granularity, data standards, verification mechanisms, and access rights — that will only be resolved through the delegated act and the standardisation work of CEN/CENELEC JTC 24. Where the evidence is incomplete or contested, this report says so explicitly rather than projecting false certainty.</w:t>
      </w:r>
    </w:p>
    <w:p w14:paraId="1A000003" w14:textId="2B43DDD2" w:rsidR="00CB0F61" w:rsidRDefault="0084011A" w:rsidP="001E015B">
      <w:r>
        <w:t>The Delphi consultation component of this report — described in full in Section 4 — engaged eight participants from four stakeholder groups (brands and retailers, manufacturers and suppliers, technology providers, and recyclers/sorters) in a structured multi-round process. Round 1 explored what data is currently available and how feasible disclosure requirements would be; Round 2, the results of which are incorporated in Section 4, sought quantified feasibility and desirability ratings on specific proposed requirements. Round 3, focusing on governance and cross-cutting implementation questions, is planned to follow. The Delphi findings are used throughout the report to ground regulatory analysis in practitioner reality — a grounding that is particularly important given the gap between what the ESPR requires in principle and what the textile industry can realistically deliver against the 2027 reference point for the delegated act.</w:t>
      </w:r>
    </w:p>
    <w:p w14:paraId="1A000004" w14:textId="77777777" w:rsidR="00CB0F61" w:rsidRDefault="0084011A" w:rsidP="00647C9F">
      <w:r>
        <w:t xml:space="preserve">The report is structured as follows. Section 2 provides a comprehensive review of the regulatory landscape, including the ESPR framework, mandatory data categories, non-functional system requirements, and the standardisation work underpinning DPP implementation. Section 3 maps the current state of DPP implementation at EU and </w:t>
        <w:lastRenderedPageBreak/>
        <w:t>Dutch national level, drawing on the TNO/CoE-DPP Dutch DPP Landscape Scan (2025) and the DPP Adoption Pulse (INNOPAY/CoE-DPP, 2025). Section 4 presents the findings of the Delphi stakeholder consultation. Section 5 translates the regulatory baseline and Delphi results into a compliance and implementation strategy, with specific recommendations for WP2 and WP3. Section 6 draws conclusions and identifies next steps. An annex addresses a set of specific implementation questions identified by the project team as requiring targeted analysis.</w:t>
      </w:r>
    </w:p>
    <w:p w14:paraId="1A000005" w14:textId="77777777" w:rsidR="00CB0F61" w:rsidRDefault="0084011A" w:rsidP="001C0F04">
      <w:r>
        <w:t>Two caveats apply to this report as a whole. First, the regulatory landscape it describes is interim: the ESPR delegated act for textiles had not been published at the time of writing, and a number of the specific requirements discussed — including granularity levels, access rights structures, and the precise data fields to be mandated — remain subject to revision. Second, the Delphi consultation findings incorporated in Sections 4 and 5 reflect the views of a purposively selected expert panel; they are not statistically representative of the textile sector at large, but are intended to capture informed practitioner judgement on questions where empirical data is scarce.</w:t>
      </w:r>
    </w:p>
    <w:p w14:paraId="5F8E8EC9" w14:textId="77777777" w:rsidR="00CB0F61" w:rsidRDefault="00CB0F61">
      <w:pPr>
        <w:spacing w:after="80"/>
      </w:pPr>
    </w:p>
    <w:p w14:paraId="5F8E8ECA" w14:textId="77777777" w:rsidR="00CB0F61" w:rsidRDefault="0084011A">
      <w:pPr>
        <w:pStyle w:val="Heading1"/>
        <w:pBdr>
          <w:bottom w:val="single" w:sz="4" w:space="4" w:color="1F4E79"/>
        </w:pBdr>
      </w:pPr>
      <w:bookmarkStart w:id="1" w:name="_Toc232001067"/>
      <w:r>
        <w:t>2. Regulatory Landscape</w:t>
      </w:r>
      <w:bookmarkEnd w:id="1"/>
    </w:p>
    <w:p w14:paraId="5F8E8ECB" w14:textId="6C462305" w:rsidR="00CB0F61" w:rsidRDefault="0084011A" w:rsidP="002874CD">
      <w:r>
        <w:t xml:space="preserve">This section provides an overview of the regulatory framework governing Digital Product Passports for textile products in the European Union. It draws primarily on the Ecodesign for Sustainable Products Regulation, the ESPR Working Plan 2025–2030, and the JRC methodology for defining DPP data requirements. It aims to establish, for practitioners across the textile value chain, what the law currently requires, what remains to be defined, and on what timeline.</w:t>
      </w:r>
    </w:p>
    <w:p w14:paraId="5F8E8ECC" w14:textId="77777777" w:rsidR="00CB0F61" w:rsidRDefault="0084011A">
      <w:pPr>
        <w:pStyle w:val="Heading2"/>
      </w:pPr>
      <w:bookmarkStart w:id="2" w:name="_Toc232001068"/>
      <w:r>
        <w:t>2.1  The Ecodesign for Sustainable Products Regulation</w:t>
      </w:r>
      <w:bookmarkEnd w:id="2"/>
    </w:p>
    <w:p w14:paraId="5F8E8ECD" w14:textId="77777777" w:rsidR="00CB0F61" w:rsidRDefault="0084011A" w:rsidP="00A04D3A">
      <w:r>
        <w:t>The Ecodesign for Sustainable Products Regulation (ESPR), which entered into force on 18 July 2024, replaces and significantly expands the scope of its predecessor, the Ecodesign Directive (2009/125/EC).</w:t>
      </w:r>
      <w:r>
        <w:rPr>
          <w:rStyle w:val="FootnoteReference"/>
        </w:rPr>
        <w:footnoteReference w:id="1"/>
      </w:r>
      <w:r>
        <w:t xml:space="preserve"> Where the Directive applied exclusively to energy-using products, the ESPR extends ecodesign obligations to virtually all physical goods placed on the EU market — with limited exceptions — covering the full product lifecycle from material sourcing through to end-of-life. Its stated ambition is to make sustainable products the norm across the EU economy.</w:t>
      </w:r>
    </w:p>
    <w:p w14:paraId="5F8E8ECE" w14:textId="77777777" w:rsidR="00CB0F61" w:rsidRDefault="0084011A" w:rsidP="00A81422">
      <w:r>
        <w:t>The Digital Product Passport is the ESPR's primary mechanism for achieving information transparency. Under Article 2(28), a DPP is defined as a set of data specific to a product, accessible via electronic means through a standardised data carrier, containing the information specified in the applicable delegated act. DPP data must, under Article 9(1), be accurate, complete, and up to date. The regulation requires that different actors along the value chain — manufacturers, importers, distributors, recyclers, consumers, and market surveillance authorities — are granted differentiated access to DPP data in accordance with role-based access rights defined in delegated acts.</w:t>
      </w:r>
    </w:p>
    <w:p w14:paraId="5F8E8ECF" w14:textId="77777777" w:rsidR="00CB0F61" w:rsidRDefault="0084011A" w:rsidP="004A335D">
      <w:r>
        <w:t xml:space="preserve">Compliance with DPP obligations is the primary responsibility of the manufacturer, or, where the manufacturer is not established in the Union, of the importer. Distributors bear a verification duty: they must confirm that required information and identifiers are present before making a product available on the market. This allocation of responsibilities is </w:t>
        <w:lastRenderedPageBreak/>
        <w:t>relevant for SMEs and upstream suppliers in the textile value chain, who will increasingly be asked to provide data to brands and retailers who hold the formal DPP obligation.</w:t>
      </w:r>
    </w:p>
    <w:p w14:paraId="5F8E8ED0" w14:textId="77777777" w:rsidR="00CB0F61" w:rsidRDefault="0084011A">
      <w:pPr>
        <w:pStyle w:val="Heading2"/>
      </w:pPr>
      <w:bookmarkStart w:id="3" w:name="_Toc232001069"/>
      <w:r>
        <w:t>2.2  The ESPR Working Plan 2025–2030 and the Textile Priority</w:t>
      </w:r>
      <w:bookmarkEnd w:id="3"/>
    </w:p>
    <w:p w14:paraId="5F8E8ED1" w14:textId="77777777" w:rsidR="00CB0F61" w:rsidRDefault="0084011A" w:rsidP="004A335D">
      <w:r>
        <w:t>On 16 April 2025, the European Commission formally adopted the ESPR Working Plan 2025–2030 — the first binding implementation roadmap under the regulation.</w:t>
      </w:r>
      <w:r>
        <w:rPr>
          <w:rStyle w:val="FootnoteReference"/>
        </w:rPr>
        <w:footnoteReference w:id="2"/>
      </w:r>
      <w:r>
        <w:t xml:space="preserve"> The plan identifies six priority product groups and two horizontal measure streams for which ecodesign requirements will be developed over the five-year period. Textiles and apparel are positioned as the top priority among final products.</w:t>
      </w:r>
      <w:r>
        <w:rPr>
          <w:rStyle w:val="FootnoteReference"/>
        </w:rPr>
        <w:footnoteReference w:id="3"/>
      </w:r>
    </w:p>
    <w:p w14:paraId="5F8E8ED2" w14:textId="77777777" w:rsidR="00CB0F61" w:rsidRDefault="0084011A" w:rsidP="00255859">
      <w:r>
        <w:t>This ranking reflects the sector's scale — the EU textile and footwear market was valued at approximately EUR 78 billion in 2019 — combined with a substantial and well-documented environmental footprint and significant potential for improvement through circularity.</w:t>
      </w:r>
      <w:r>
        <w:rPr>
          <w:rStyle w:val="FootnoteReference"/>
        </w:rPr>
        <w:footnoteReference w:id="4"/>
      </w:r>
      <w:r>
        <w:t xml:space="preserve"> Preparatory work for the textile delegated act, conducted by the JRC, was already underway at the time of the Working Plan's adoption.</w:t>
      </w:r>
    </w:p>
    <w:p w14:paraId="5F8E8ED3" w14:textId="77777777" w:rsidR="00CB0F61" w:rsidRDefault="0084011A" w:rsidP="003D5863">
      <w:r>
        <w:t>The indicative timeline emerging from the Working Plan and associated regulatory activities is as follows: the JRC preparatory work supporting the delegated act on apparel was ongoing at the time of writing, and the textile delegated act is tentatively anticipated in 2027 (González-Torres &amp; Arcipowska, 2026). The sources do not resolve whether 2027 marks the act’s adoption or its entry into application, and no transition period for textile operators has yet been specified; the exact compliance date will be set in the delegated act itself. This report therefore treats 2027 as the reference point for the delegated act while leaving the compliance date open, and the M-DPP project’s planning proceeds against that deliberately bounded horizon rather than an inferred one.</w:t>
      </w:r>
    </w:p>
    <w:p w14:paraId="5F8E8ED4" w14:textId="77777777" w:rsidR="00CB0F61" w:rsidRDefault="0084011A">
      <w:pPr>
        <w:pStyle w:val="Heading2"/>
      </w:pPr>
      <w:bookmarkStart w:id="4" w:name="_Toc232001070"/>
      <w:r>
        <w:t>2.3  Mandatory Data Categories</w:t>
      </w:r>
      <w:bookmarkEnd w:id="4"/>
    </w:p>
    <w:p w14:paraId="5F8E8ED5" w14:textId="77777777" w:rsidR="00CB0F61" w:rsidRDefault="0084011A" w:rsidP="00243C6C">
      <w:r>
        <w:t>The substantive content of any DPP — the specific data fields that must be populated — will be defined product-group by product-group in delegated acts adopted under Article 4 of the ESPR. Nevertheless, the ESPR itself, through its Annexes, establishes the framework of product parameters and system elements within which delegated acts must operate. The JRC has developed a structured methodology for translating these Annex-level parameters into concrete data requirements, which serves as the procedural blueprint for the Commission's work on the textile delegated act.</w:t>
      </w:r>
      <w:r>
        <w:rPr>
          <w:rStyle w:val="FootnoteReference"/>
        </w:rPr>
        <w:footnoteReference w:id="5"/>
      </w:r>
    </w:p>
    <w:p w14:paraId="5F8E8ED6" w14:textId="77777777" w:rsidR="00CB0F61" w:rsidRDefault="0084011A" w:rsidP="001765DA">
      <w:r>
        <w:t>Drawing on the ESPR Annexes, the JRC preparatory study for textile products, and the CIRPASS-2 information requirements analysis, the following data categories are identified as directly applicable to textile DPPs and relevant for the design of the M-DPP system:</w:t>
      </w:r>
    </w:p>
    <w:p w14:paraId="5F8E8ED7" w14:textId="77777777" w:rsidR="00CB0F61" w:rsidRDefault="0084011A">
      <w:pPr>
        <w:pStyle w:val="ListParagraph"/>
        <w:numPr>
          <w:ilvl w:val="0"/>
          <w:numId w:val="2"/>
        </w:numPr>
        <w:spacing w:before="60" w:after="60"/>
      </w:pPr>
      <w:r>
        <w:lastRenderedPageBreak/>
        <w:t>Material composition and recycled content, including fibre type, share of recycled material, and — critically for verification — a distinction between declared and evidenced data.</w:t>
      </w:r>
    </w:p>
    <w:p w14:paraId="5F8E8ED8" w14:textId="77777777" w:rsidR="00CB0F61" w:rsidRDefault="0084011A">
      <w:pPr>
        <w:pStyle w:val="ListParagraph"/>
        <w:numPr>
          <w:ilvl w:val="0"/>
          <w:numId w:val="2"/>
        </w:numPr>
        <w:spacing w:before="60" w:after="60"/>
      </w:pPr>
      <w:r>
        <w:t>Substances of concern: names, numeric codes, locations within the product, and concentrations or concentration ranges of regulated substances, as mandated under ESPR Article 7(5). For textiles, this extends to chemical treatments applied during production, including dyes, finishes, and coating agents.</w:t>
      </w:r>
    </w:p>
    <w:p w14:paraId="5F8E8ED9" w14:textId="77777777" w:rsidR="00CB0F61" w:rsidRDefault="0084011A">
      <w:pPr>
        <w:pStyle w:val="ListParagraph"/>
        <w:numPr>
          <w:ilvl w:val="0"/>
          <w:numId w:val="2"/>
        </w:numPr>
        <w:spacing w:before="60" w:after="60"/>
      </w:pPr>
      <w:r>
        <w:t>Supply chain traceability: the key production step locations — weaving or knitting, dyeing and finishing, garment assembly — as required under ESPR Annex III. Full raw material traceability is not required at this stage.</w:t>
      </w:r>
    </w:p>
    <w:p w14:paraId="5F8E8EDA" w14:textId="77777777" w:rsidR="00CB0F61" w:rsidRDefault="0084011A">
      <w:pPr>
        <w:pStyle w:val="ListParagraph"/>
        <w:numPr>
          <w:ilvl w:val="0"/>
          <w:numId w:val="2"/>
        </w:numPr>
        <w:spacing w:before="60" w:after="60"/>
      </w:pPr>
      <w:r>
        <w:t>Recyclability information: either a recyclability assessment based on a recognised methodology, or the underlying product data — composition, construction type, material connections — that enables recyclers to make their own assessment.</w:t>
      </w:r>
    </w:p>
    <w:p w14:paraId="5F8E8EDB" w14:textId="77777777" w:rsidR="00CB0F61" w:rsidRDefault="0084011A">
      <w:pPr>
        <w:pStyle w:val="ListParagraph"/>
        <w:numPr>
          <w:ilvl w:val="0"/>
          <w:numId w:val="2"/>
        </w:numPr>
        <w:spacing w:before="60" w:after="60"/>
      </w:pPr>
      <w:r>
        <w:t>Environmental footprint: production location data, enabling estimation of transport distances and location-specific energy mix contributions. Where available, quantified lifecycle assessment data is preferred.</w:t>
      </w:r>
    </w:p>
    <w:p w14:paraId="5F8E8EDC" w14:textId="77777777" w:rsidR="00CB0F61" w:rsidRDefault="0084011A">
      <w:pPr>
        <w:pStyle w:val="ListParagraph"/>
        <w:numPr>
          <w:ilvl w:val="0"/>
          <w:numId w:val="2"/>
        </w:numPr>
        <w:spacing w:before="60" w:after="60"/>
      </w:pPr>
      <w:r>
        <w:t>Packaging: recycled content, recyclability, and reusability of product packaging. Industry consensus from the M-DPP Delphi consultation holds that packaging data should be structured as a linked but clearly separate data layer within the DPP.</w:t>
      </w:r>
    </w:p>
    <w:p w14:paraId="5F8E8EDD" w14:textId="77777777" w:rsidR="00CB0F61" w:rsidRDefault="0084011A">
      <w:pPr>
        <w:pStyle w:val="ListParagraph"/>
        <w:numPr>
          <w:ilvl w:val="0"/>
          <w:numId w:val="2"/>
        </w:numPr>
        <w:spacing w:before="60" w:after="60"/>
      </w:pPr>
      <w:r>
        <w:t>Microplastic and nanoplastic release: mandated under ESPR Annex I(p), though no standardised measurement methodology yet exists for textiles.</w:t>
      </w:r>
    </w:p>
    <w:p w14:paraId="5F8E8EDE" w14:textId="77777777" w:rsidR="00CB0F61" w:rsidRDefault="0084011A" w:rsidP="009314A1">
      <w:r>
        <w:t>It is important to note that not all of these categories will necessarily be mandatory in the first delegated act. The JRC methodology explicitly distinguishes mandatory requirements — those legally binding under the ESPR or delegated acts — from voluntary recommendations, and it calls for proportionality assessments to determine the feasibility and cost-appropriateness of each data element.</w:t>
      </w:r>
      <w:r>
        <w:rPr>
          <w:rStyle w:val="FootnoteReference"/>
        </w:rPr>
        <w:footnoteReference w:id="6"/>
      </w:r>
      <w:r>
        <w:t xml:space="preserve"> The CIRPASS-2 Ontology Requirements Specification, which identifies the key conceptual modules for the EU DPP core ontology, covers the same categories — including product composition, environmental impact, product conformity, lifecycle events, and actor roles — reflecting the cross-sectoral consensus on what a DPP must be able to express.</w:t>
      </w:r>
      <w:r>
        <w:rPr>
          <w:rStyle w:val="FootnoteReference"/>
        </w:rPr>
        <w:footnoteReference w:id="7"/>
      </w:r>
    </w:p>
    <w:p w14:paraId="5F8E8EDF" w14:textId="77777777" w:rsidR="00CB0F61" w:rsidRDefault="0084011A">
      <w:pPr>
        <w:pStyle w:val="Heading2"/>
      </w:pPr>
      <w:bookmarkStart w:id="5" w:name="_Toc232001071"/>
      <w:r>
        <w:t>2.4  Non-Functional and System-Level Requirements</w:t>
      </w:r>
      <w:bookmarkEnd w:id="5"/>
    </w:p>
    <w:p w14:paraId="5F8E8EE0" w14:textId="77777777" w:rsidR="00CB0F61" w:rsidRDefault="0084011A" w:rsidP="00164931">
      <w:r>
        <w:t>Beyond the substantive data categories, the ESPR establishes a set of non-functional requirements that govern how DPP data must operate as a digital system. These apply horizontally across all product groups and are independent of the content defined in product-specific delegated acts.</w:t>
      </w:r>
    </w:p>
    <w:p w14:paraId="5F8E8EE1" w14:textId="77777777" w:rsidR="00CB0F61" w:rsidRDefault="0084011A" w:rsidP="00164931">
      <w:r>
        <w:t xml:space="preserve">Under Article 10(1)(d), DPP data must be based on open standards, use interoperable and machine-readable formats, be structured and searchable, and be transferable through open and interoperable data exchange networks without vendor lock-in. This requirement directly conditions the technical architecture of any DPP system: proprietary platforms that do not expose data via open APIs are structurally non-compliant. For the </w:t>
        <w:lastRenderedPageBreak/>
        <w:t>M-DPP project, which is building an open-source API framework, this requirement represents a point of alignment with regulatory intent rather than a constraint.</w:t>
      </w:r>
    </w:p>
    <w:p w14:paraId="5F8E8EE2" w14:textId="77777777" w:rsidR="00CB0F61" w:rsidRDefault="0084011A" w:rsidP="002E7B2F">
      <w:r>
        <w:t>Article 9(2)(i) requires that DPP information remain available for the expected lifetime of the product, supporting long-term objectives including repair, reuse, and recycling. This introduces a data persistence requirement that affects both the infrastructure and governance model of DPP service providers. The regulation further requires that DPP data be accessible, verifiable, and traceable along the value chain, with the information supporting compliance verification by market surveillance authorities.</w:t>
      </w:r>
    </w:p>
    <w:p w14:paraId="5F8E8EE3" w14:textId="77777777" w:rsidR="00CB0F61" w:rsidRDefault="0084011A" w:rsidP="000746E5">
      <w:r>
        <w:t>Role-based access is a structural feature of the DPP system. The ESPR requires that access rights — including rights to introduce, modify, or update data — be restricted and managed at the level of delegated acts. Public data elements require no access management; commercially sensitive data may be restricted to specific actor categories. Economic operators are responsible for managing access rights for data in their DPPs.</w:t>
      </w:r>
    </w:p>
    <w:p w14:paraId="5F8E8EE4" w14:textId="77777777" w:rsidR="00CB0F61" w:rsidRDefault="0084011A">
      <w:pPr>
        <w:pStyle w:val="Heading2"/>
      </w:pPr>
      <w:bookmarkStart w:id="6" w:name="_Toc232001072"/>
      <w:r>
        <w:t>2.5  Standardisation: CEN/CENELEC JTC 24</w:t>
      </w:r>
      <w:bookmarkEnd w:id="6"/>
    </w:p>
    <w:p w14:paraId="5F8E8EE5" w14:textId="77777777" w:rsidR="00CB0F61" w:rsidRDefault="0084011A" w:rsidP="00157A86">
      <w:r>
        <w:t>The technical implementation of DPP requirements depends on horizontal standards currently under development by CEN/CENELEC Joint Technical Committee 24 (JTC 24), established in response to the Commission's standardisation request C(2024)5423.</w:t>
      </w:r>
      <w:r>
        <w:rPr>
          <w:rStyle w:val="FootnoteReference"/>
        </w:rPr>
        <w:footnoteReference w:id="8"/>
      </w:r>
      <w:r>
        <w:t xml:space="preserve"> JTC 24 is developing the cross-sectoral DPP system architecture, covering data carriers, unique product identifiers, semantic interoperability, role-based access models, and data exchange mechanisms. Its first publication was anticipated in early 2026.</w:t>
      </w:r>
      <w:commentRangeStart w:id="7"/>
      <w:r>
        <w:rPr>
          <w:rStyle w:val="FootnoteReference"/>
        </w:rPr>
        <w:footnoteReference w:id="9"/>
      </w:r>
      <w:commentRangeEnd w:id="7"/>
      <w:r>
        <w:rPr>
          <w:rStyle w:val="CommentReference"/>
          <w:sz w:val="22"/>
          <w:szCs w:val="22"/>
        </w:rPr>
        <w:commentReference w:id="7"/>
      </w:r>
    </w:p>
    <w:p w14:paraId="5F8E8EE6" w14:textId="77777777" w:rsidR="00CB0F61" w:rsidRDefault="0084011A" w:rsidP="00436D35">
      <w:r>
        <w:t>The work of the CIRPASS-2 consortium, in which TNO is a participating organisation, has contributed substantially to this standardisation effort. The CIRPASS-2 EU DPP Core Ontology — a cross-sectoral formal specification of basic DPP concepts and their relationships — is designed to provide semantic interoperability across sector-specific DPPs, with textile products among the three validation sectors alongside construction and batteries.</w:t>
      </w:r>
      <w:r>
        <w:rPr>
          <w:rStyle w:val="FootnoteReference"/>
        </w:rPr>
        <w:footnoteReference w:id="10"/>
      </w:r>
      <w:r>
        <w:t xml:space="preserve"> This ontological work directly informs what machine-readable data structures textile DPPs will need to be compatible with.</w:t>
      </w:r>
    </w:p>
    <w:p w14:paraId="5F8E8EE7" w14:textId="77777777" w:rsidR="00CB0F61" w:rsidRDefault="0084011A">
      <w:pPr>
        <w:pStyle w:val="Heading2"/>
      </w:pPr>
      <w:bookmarkStart w:id="8" w:name="_Toc232001073"/>
      <w:r>
        <w:t>2.6  Implications for the Textile Sector</w:t>
      </w:r>
      <w:bookmarkEnd w:id="8"/>
    </w:p>
    <w:p w14:paraId="5F8E8EE8" w14:textId="77777777" w:rsidR="00CB0F61" w:rsidRDefault="0084011A" w:rsidP="00BC5C2E">
      <w:r>
        <w:t>The regulatory picture for textile DPPs is demanding in scope, but sufficiently structured to permit strategic preparation. The 2027 reference point for the delegated act is firm in its broad parameters, even though the precise compliance date is not yet set; the delegated act will supply the specific obligations. What the current regulatory framework already establishes is the following:</w:t>
      </w:r>
    </w:p>
    <w:p w14:paraId="5F8E8EE9" w14:textId="77777777" w:rsidR="00CB0F61" w:rsidRDefault="0084011A">
      <w:pPr>
        <w:pStyle w:val="ListParagraph"/>
        <w:numPr>
          <w:ilvl w:val="0"/>
          <w:numId w:val="2"/>
        </w:numPr>
        <w:spacing w:before="60" w:after="60"/>
      </w:pPr>
      <w:r>
        <w:t>DPP obligations will require reliable mechanisms for generating and connecting product-level composition data — including a defensible distinction between declared and independently evidenced claims.</w:t>
      </w:r>
    </w:p>
    <w:p w14:paraId="5F8E8EEA" w14:textId="77777777" w:rsidR="00CB0F61" w:rsidRDefault="0084011A">
      <w:pPr>
        <w:pStyle w:val="ListParagraph"/>
        <w:numPr>
          <w:ilvl w:val="0"/>
          <w:numId w:val="2"/>
        </w:numPr>
        <w:spacing w:before="60" w:after="60"/>
      </w:pPr>
      <w:r>
        <w:t>Supply chain disclosure will be required at least to production-step level, meaning brands must develop or deepen relationships with suppliers capable of providing location data.</w:t>
      </w:r>
    </w:p>
    <w:p w14:paraId="5F8E8EEB" w14:textId="77777777" w:rsidR="00CB0F61" w:rsidRDefault="0084011A">
      <w:pPr>
        <w:pStyle w:val="ListParagraph"/>
        <w:numPr>
          <w:ilvl w:val="0"/>
          <w:numId w:val="2"/>
        </w:numPr>
        <w:spacing w:before="60" w:after="60"/>
      </w:pPr>
      <w:r>
        <w:lastRenderedPageBreak/>
        <w:t>Digital infrastructure must support open-standard, interoperable data exchange, ruling out closed or proprietary systems as the primary DPP platform.</w:t>
      </w:r>
    </w:p>
    <w:p w14:paraId="5F8E8EEC" w14:textId="77777777" w:rsidR="00CB0F61" w:rsidRDefault="0084011A">
      <w:pPr>
        <w:pStyle w:val="ListParagraph"/>
        <w:numPr>
          <w:ilvl w:val="0"/>
          <w:numId w:val="2"/>
        </w:numPr>
        <w:spacing w:before="60" w:after="60"/>
      </w:pPr>
      <w:r>
        <w:t>The absence of standardised test methods for certain mandatory data categories — most notably microplastic release — means that some requirements cannot yet be fully operationalised, regardless of industry readiness.</w:t>
      </w:r>
    </w:p>
    <w:p w14:paraId="5F8E8EED" w14:textId="77777777" w:rsidR="00CB0F61" w:rsidRDefault="0084011A" w:rsidP="00464E17">
      <w:r>
        <w:t>The CIRPASS-2 industry survey, drawing on approximately 100 participants from across sectors, confirmed that supplier-data availability is the dominant structural bottleneck for DPP implementation — a finding that aligns closely with what M-DPP Delphi participants reported for the textile sector specifically.</w:t>
      </w:r>
      <w:r>
        <w:rPr>
          <w:rStyle w:val="FootnoteReference"/>
        </w:rPr>
        <w:footnoteReference w:id="11"/>
      </w:r>
      <w:r>
        <w:t xml:space="preserve"> The extent to which existing certification and data collection systems can support ESPR compliance without significant investment remains an open question — one the Delphi consultation addresses directly in Section 4.</w:t>
      </w:r>
    </w:p>
    <w:p w14:paraId="5F8E8EEE" w14:textId="77777777" w:rsidR="00CB0F61" w:rsidRDefault="00CB0F61">
      <w:pPr>
        <w:spacing w:before="80" w:after="80"/>
      </w:pPr>
    </w:p>
    <w:p w14:paraId="5F8E8EEF" w14:textId="77777777" w:rsidR="00CB0F61" w:rsidRDefault="0084011A">
      <w:pPr>
        <w:pStyle w:val="Heading1"/>
        <w:pBdr>
          <w:bottom w:val="single" w:sz="4" w:space="4" w:color="1F4E79"/>
        </w:pBdr>
      </w:pPr>
      <w:bookmarkStart w:id="9" w:name="_Toc232001074"/>
      <w:r>
        <w:t>3. State of Implementation — EU and NL Context</w:t>
      </w:r>
      <w:bookmarkEnd w:id="9"/>
    </w:p>
    <w:p w14:paraId="3D000001" w14:textId="77777777" w:rsidR="00CB0F61" w:rsidRDefault="0084011A">
      <w:pPr>
        <w:pStyle w:val="Heading2"/>
      </w:pPr>
      <w:bookmarkStart w:id="10" w:name="_Toc_s3_1"/>
      <w:bookmarkStart w:id="11" w:name="_Toc232001075"/>
      <w:r>
        <w:t>3.1  The EU DPP Implementation Landscape</w:t>
      </w:r>
      <w:bookmarkEnd w:id="10"/>
      <w:bookmarkEnd w:id="11"/>
    </w:p>
    <w:p w14:paraId="3D000002" w14:textId="77777777" w:rsidR="00CB0F61" w:rsidRDefault="0084011A" w:rsidP="00F81224">
      <w:r>
        <w:t>The ESPR entered into force on 18 July 2024. With it came the first legally binding framework for Digital Product Passports across the European internal market. The Regulation establishes the horizontal architecture, the governance structure, and the three-tier implementation process — regulation, standardisation mandate, delegated acts — described in Section 2. At the time of writing, the practical implementation of the DPP is progressing on multiple tracks simultaneously, with the battery passport representing the furthest-advanced product-group application and textiles positioned as the next major sector.</w:t>
      </w:r>
    </w:p>
    <w:p w14:paraId="5EA18F7D" w14:textId="77777777" w:rsidR="00802659" w:rsidRDefault="00802659" w:rsidP="00CA42B7">
      <w:r>
        <w:t>The ESPR's first Working Plan (2025–2030), published alongside the Regulation, identifies seven priority product groups for delegated acts: iron and steel, aluminium, textiles/apparel, tyres, furniture, energy-related products, and mattresses. Textiles and apparel are ranked first in terms of environmental impact and market volume. The indicative timeline for the textile delegated act is 2027, consistent across the JRC methodology (Chawla et al., 2026) and the textile preparatory study, which describes the act as "tentatively in 2027." The Dutch DPP Landscape Scan (TNO/CoE-DPP, 2025) treats this as a compliance date, stating that textiles will require a DPP from 1 January 2027. The precise distinction — whether 2027 marks the delegated act's adoption or its entry into application — will only be confirmed once the act is published, and the transition period that applies to textile operators has not yet been specified. This uncertainty is itself a source of market friction: the INNOPAY/CoE-DPP Adoption Pulse (2025) found that 63% of DPP ecosystem participants identified legislative clarity as a primary market need, and that lack of EU clarity ranked among the top five adoption challenges cited across sectors.</w:t>
      </w:r>
    </w:p>
    <w:p w14:paraId="3D000004" w14:textId="2879AAFE" w:rsidR="00CB0F61" w:rsidRDefault="0084011A" w:rsidP="00CA42B7">
      <w:r>
        <w:t>The CIRPASS project (Coordination and Support Action on DPP, 2022–2024, funded under the Digital Europe Programme with €2 million) generated the foundational architecture work, user story libraries, and pilot implementations across three value chains — batteries, electronics, and textiles — that informed the ESPR’s DPP technical requirements. Its successor, CIRPASS-2 (launched January 2024), continues this work with a broader scope, explicitly addressing multi-product interoperability and contributing to the CEN/CENELEC JTC 24 standardisation mandate.</w:t>
      </w:r>
    </w:p>
    <w:p w14:paraId="3D000005" w14:textId="77777777" w:rsidR="00CB0F61" w:rsidRDefault="0084011A" w:rsidP="00346FA5">
      <w:r>
        <w:lastRenderedPageBreak/>
        <w:t>The battery passport is the operational reference point for DPP design across product groups. The EU Battery Regulation (Regulation (EU) 2023/1542) mandated a battery passport for industrial batteries and EV batteries from February 2027 and for light transport batteries from August 2024 — making it the first mandatory DPP application at EU scale. Design decisions made in the battery passport architecture, including the five-tier access rights model, the role of the EU DPP Registry, and the GS1-based identifier standards, are directly informing the textile delegated act and the JRC methodology applied in this project’s analysis (Chawla et al., 2026).</w:t>
      </w:r>
    </w:p>
    <w:p w14:paraId="3D000006" w14:textId="77777777" w:rsidR="00CB0F61" w:rsidRDefault="0084011A" w:rsidP="00547169">
      <w:r>
        <w:t>The CEN/CENELEC JTC 24 standardisation work, established in response to the ESPR standardisation mandate, is producing the technical standards that will underpin DPP system interoperability: data carriers and unique identifiers (WG2), access rights and accessibility (WG3), data persistence and archiving (WG4), and governance (WG5). The first JTC 24 publications were anticipated for 2026. Until these are finalised, the DPP technology landscape remains in a state of technical pre-standardisation: service providers are building to anticipated standards rather than ratified ones, creating both flexibility and fragmentation risk.</w:t>
      </w:r>
    </w:p>
    <w:p w14:paraId="3D000007" w14:textId="77777777" w:rsidR="00CB0F61" w:rsidRDefault="0084011A" w:rsidP="001745EF">
      <w:r>
        <w:t>The Dutch DPP Landscape Scan (TNO/CoE-DPP, October 2025) notes that the Dutch government is actively supporting organisations in DPP implementation that develop their own DPP solutions independently from the EU standardisation process, which risks creating interoperability gaps at EU level. This observation is consistent with the broader INNOPAY Adoption Pulse finding that lack of standardisation was the second most frequently cited challenge across Dutch DPP initiatives (54% of respondents), behind only DPP data gaps (58%).</w:t>
      </w:r>
    </w:p>
    <w:p w14:paraId="3D000008" w14:textId="77777777" w:rsidR="00CB0F61" w:rsidRDefault="0084011A">
      <w:pPr>
        <w:pStyle w:val="Heading2"/>
      </w:pPr>
      <w:bookmarkStart w:id="12" w:name="_Toc_s3_2"/>
      <w:bookmarkStart w:id="13" w:name="_Toc232001076"/>
      <w:r>
        <w:t>3.2  The Netherlands: National DPP Policy and the CoE-DPP</w:t>
      </w:r>
      <w:bookmarkEnd w:id="12"/>
      <w:bookmarkEnd w:id="13"/>
    </w:p>
    <w:p w14:paraId="3D000009" w14:textId="77777777" w:rsidR="00CB0F61" w:rsidRDefault="0084011A" w:rsidP="00441E62">
      <w:r>
        <w:t>The Netherlands is positioned among the leading EU member states on DPP readiness. The country ranks in the top three on the EU Digital Economy and Society Index (DESI), has an active national programme on the circular economy (Nationaal Programma Circulaire Economie 2023–2030), and has invested substantially in data-sharing infrastructure through initiatives such as iSHARE, International Data Spaces, and various sector-specific data portals. The Dutch government’s adoption of DPPs as a policy instrument reflects both the regulatory obligations under ESPR and a strategic position that DPPs offer economic opportunity: the INNOPAY Adoption Pulse estimates that over 60% of Dutch goods exports will eventually require a DPP, positioning early adoption as a competitive advantage rather than purely a compliance cost.</w:t>
      </w:r>
    </w:p>
    <w:p w14:paraId="3D00000A" w14:textId="77777777" w:rsidR="00CB0F61" w:rsidRDefault="0084011A" w:rsidP="005C3815">
      <w:r>
        <w:t>The Ministry of Economic Affairs (Ministerie van Economische Zaken, EZ) has taken the lead on DPP coordination in the Netherlands, establishing the Centre of Excellence for Digital Product Passports (CoE-DPP) as the primary national coordination vehicle for DPP implementation and knowledge transfer. The CoE-DPP operates within the broader Centre of Excellence for Data Sharing and Cloud (CoE-DSC), with Sjoerd Rongen (TNO) as coordinator of digital product passports. The Ministry of Infrastructure and Water Management (Infrastructuur en Waterstaat, I&amp;W) holds shared responsibility for the circularity and sustainability dimensions of the DPP transition. The INNOPAY Adoption Pulse identifies the shared responsibility between these two ministries as a structural coordination risk, recommending the appointment of a dedicated policy owner (dossierhouder) at Director-General level to ensure coherent policy development and funding allocation.</w:t>
      </w:r>
    </w:p>
    <w:p w14:paraId="3D00000B" w14:textId="77777777" w:rsidR="00CB0F61" w:rsidRDefault="0084011A" w:rsidP="00504F90">
      <w:r>
        <w:t xml:space="preserve">The CoE-DPP’s mandate encompasses four functions: community building (networking, linking initiatives, knowledge transfer); expertise and resources (implementation support, DPP pilots, cost studies); single gateway to official information (EU legislation overview, legislative status updates, lobbying for clarity); and facilitation of innovation and interoperability (representation in international standardisation, coordination with Dutch </w:t>
        <w:lastRenderedPageBreak/>
        <w:t>DPP service providers). For the M-DPP project, the CoE-DPP represents both a relevant national partner and an institutional reference point: the project’s Regieorgaan SIA funding sits within the same national DPP ecosystem that CoE-DPP coordinates. The M-DPP living lab output will contribute to the body of practice-based evidence the CoE-DPP draws on for policy and implementation guidance.</w:t>
      </w:r>
    </w:p>
    <w:p w14:paraId="3D00000C" w14:textId="77777777" w:rsidR="00CB0F61" w:rsidRDefault="0084011A">
      <w:pPr>
        <w:pStyle w:val="Heading2"/>
      </w:pPr>
      <w:bookmarkStart w:id="14" w:name="_Toc_s3_3"/>
      <w:bookmarkStart w:id="15" w:name="_Toc232001077"/>
      <w:r>
        <w:t>3.3  Dutch DPP Ecosystem: Landscape Scan Findings</w:t>
      </w:r>
      <w:bookmarkEnd w:id="14"/>
      <w:bookmarkEnd w:id="15"/>
    </w:p>
    <w:p w14:paraId="3D00000D" w14:textId="77777777" w:rsidR="00CB0F61" w:rsidRDefault="0084011A" w:rsidP="00575401">
      <w:r>
        <w:t>The Dutch DPP Landscape Scan (TNO/CoE-DPP, Version 1.0, October 2025) is the first systematic mapping of the Dutch DPP ecosystem. Based on voluntary self-registration, it covers organisations active in DPP development, implementation, and service provision across sectors. Its key finding on composition: service providers dominate, supply chain roles lag. Fifty-nine percent of respondents identified as service providers; trade associations (11%) and academic institutions (10%) were the next largest groups. Economic operators — the manufacturers and importers who will actually carry DPP compliance obligations under ESPR — are among the seven roles with fewer than five respondents each. This structural imbalance reflects the current state of the ecosystem: technical infrastructure and knowledge are being built in advance of widespread demand from the operators who will be required to use it.</w:t>
      </w:r>
    </w:p>
    <w:p w14:paraId="3D00000E" w14:textId="77777777" w:rsidR="00CB0F61" w:rsidRDefault="0084011A" w:rsidP="008C42A2">
      <w:r>
        <w:t>On DPP activity and maturity: 80% of respondents had participated in a pilot, proof of concept, or DPP project. Approximately 52% reported having operational DPP services, a figure the Landscape Scan explicitly notes is likely inflated by a frontrunner bias in the self-registration sample. Among service providers specifically, 71% reported operational DPP services. For textiles and apparel, 55% of respondents reported activity in this product group — the joint top-ranked category alongside construction products — and textile/apparel organisations had the highest proportion reporting operational DPP services (64%), consistent with the 2027 compliance timeline creating the strongest urgency signal. Critically, companies from the textiles and apparel industry also offer the most operational DPP services, use DPP in processes, or create DPPs for products (64%), placing them at the leading edge of the Dutch implementation landscape.</w:t>
      </w:r>
    </w:p>
    <w:p w14:paraId="3D00000F" w14:textId="2CCFFAE0" w:rsidR="00CB0F61" w:rsidRDefault="0084011A" w:rsidP="00CE10C5">
      <w:r>
        <w:t>The Landscape Scan identifies three structural recommendations for the CoE-DPP: boost visibility of DPP activities among organisations that are active but not visible; engage missing roles, particularly supply chain actors and economic operators who are currently underrepresented; and scale pilots into modular solutions that can be adopted by a wider range of organisations, including SMEs. This third recommendation is directly relevant to the M-DPP project: the living lab approach and the modular architecture of the M-DPP system (a core DPP layer plus an M-DPP extension layer for molecular composition data) is the type of scalable, sector-specific pilot-to-product pathway the CoE-DPP recommends.</w:t>
      </w:r>
    </w:p>
    <w:p w14:paraId="3D000010" w14:textId="77777777" w:rsidR="00CB0F61" w:rsidRDefault="0084011A">
      <w:pPr>
        <w:pStyle w:val="Heading2"/>
      </w:pPr>
      <w:bookmarkStart w:id="16" w:name="_Toc_s3_4"/>
      <w:bookmarkStart w:id="17" w:name="_Toc232001078"/>
      <w:r>
        <w:t>3.4  DPP Adoption Dynamics: Implementation Status and Market Barriers</w:t>
      </w:r>
      <w:bookmarkEnd w:id="16"/>
      <w:bookmarkEnd w:id="17"/>
    </w:p>
    <w:p w14:paraId="3D000011" w14:textId="77777777" w:rsidR="00CB0F61" w:rsidRDefault="0084011A" w:rsidP="00450E9D">
      <w:r>
        <w:t>The Dutch DPP Adoption Pulse (INNOPAY/CoE-DPP, November 2025) provides the most granular picture of DPP adoption dynamics available for the Netherlands at the time of writing. Based on 23 interviews with ecosystem representatives, involving over 50 responsible economic operators, 20+ DPP service providers, and 10,000+ suppliers across eleven sectors, it maps the current state of DPP implementation across the development pipeline.</w:t>
      </w:r>
    </w:p>
    <w:p w14:paraId="3D000012" w14:textId="77777777" w:rsidR="00CB0F61" w:rsidRDefault="0084011A" w:rsidP="00BD6D8B">
      <w:r>
        <w:t xml:space="preserve">The adoption stage breakdown is striking in what it reveals about pre-compliance timing: 31% of interviewees had already launched their DPP solutions, well ahead of mandatory compliance timelines. Of these launched DPPs, 71% were funded by organisations’ own means, indicating that business value — rather than regulatory compulsion — is the primary driver for early movers. Conversely, 76% of the subsidised DPP activity is </w:t>
        <w:lastRenderedPageBreak/>
        <w:t>directed at research projects that have not yet been launched. The majority of Dutch DPP activity (69% of interviewees) had not launched an operational DPP at the time of the survey, distributed across the vision (4%), preparation (26%), development (22%), implementation (4%), and pilot (13%) stages.</w:t>
      </w:r>
    </w:p>
    <w:p w14:paraId="3D000013" w14:textId="77777777" w:rsidR="00CB0F61" w:rsidRDefault="0084011A" w:rsidP="006F62B9">
      <w:r>
        <w:t>Five adoption barriers are identified, ranked by frequency of mention among interviewees. DPP data gaps (58%) — incomplete, low-quality, or unavailable upstream data — are the primary structural bottleneck; this directly mirrors the Delphi consultation findings on supply chain traceability. Lack of standardisation (54%) and lack of resources (54%) are joint second; lack of EU clarity (50%) is fourth; and hesitance in vendor choice driven by lock-in concerns (29%) is fifth. The standardisation barrier has a specific Dutch dimension: the Landscape Scan notes that some Dutch government-supported initiatives are developing DPP solutions independently of EU standards, creating a fragmentation risk that could require expensive re-engineering once JTC 24 standards are finalised.</w:t>
      </w:r>
    </w:p>
    <w:p w14:paraId="3D000014" w14:textId="77777777" w:rsidR="00CB0F61" w:rsidRDefault="0084011A" w:rsidP="006F62B9">
      <w:r>
        <w:t>Five success drivers are identified. Collaboration was cited by 96% of interviewees as essential — by a significant margin the most frequently mentioned factor. Strategic value creation (54%), DPP understanding (46%), technical infrastructure (29%), and access to knowledge (17%) complete the list. The dominant role of collaboration is analytically consistent with the supply chain visibility problem: DPPs require data from multiple actors across a value chain, and that data will only flow if the relationships and trust conditions for sharing it exist. This is not a technical problem — it is a relational and governance one.</w:t>
      </w:r>
    </w:p>
    <w:p w14:paraId="3D000015" w14:textId="77777777" w:rsidR="00CB0F61" w:rsidRDefault="0084011A" w:rsidP="007D3677">
      <w:r>
        <w:t>The most significant conceptual contribution of the Adoption Pulse is its distinction between implementation and usage as two separate elements of DPP adoption. Current Dutch market activity is heavily focused on the implementation side — building DPP infrastructure, developing technical solutions, conducting pilots. Resources allocated to stimulating actual DPP usage by consumers, recyclers, and other end-users are scarce. As one interviewee noted: “In three years, we will have DPPs, but we will still not be able to do much with them if no one uses them.” This usage gap is structurally relevant to the M-DPP project: the molecular characterisation layer (WP2) and the verification API (WP3) only deliver value if recyclers, brand quality teams, and market surveillance authorities actually use the composition claim verification functionality. Adoption strategy for the M-DPP system cannot be limited to technical readiness.</w:t>
      </w:r>
    </w:p>
    <w:p w14:paraId="3D000016" w14:textId="77777777" w:rsidR="00CB0F61" w:rsidRDefault="0084011A">
      <w:pPr>
        <w:pStyle w:val="Heading2"/>
      </w:pPr>
      <w:bookmarkStart w:id="18" w:name="_Toc_s3_5"/>
      <w:bookmarkStart w:id="19" w:name="_Toc232001079"/>
      <w:r>
        <w:t>3.5  Data Content Requirements for Textile DPPs: Proposed Structure</w:t>
      </w:r>
      <w:bookmarkEnd w:id="18"/>
      <w:bookmarkEnd w:id="19"/>
    </w:p>
    <w:p w14:paraId="3D000017" w14:textId="77777777" w:rsidR="00CB0F61" w:rsidRDefault="0084011A" w:rsidP="00262583">
      <w:r>
        <w:t>The JRC preparatory study for the textile delegated act (González-Torres &amp; Arcipowska, 2026) identifies five data categories that together constitute the proposed DPP content structure for textile and apparel products. These categories were derived through a systematic use-case analysis across thirteen use cases covering the full product lifecycle, from consumer information and retail to market surveillance, customs, and end-of-life recycling. Table 1 summarises the categories and their constituent data elements as identified in the study.</w:t>
      </w:r>
    </w:p>
    <w:tbl>
      <w:tblPr>
        <w:tblW w:w="0" w:type="auto"/>
        <w:tblCellSpacing w:w="0" w:type="dxa"/>
        <w:tblBorders>
          <w:top w:val="single" w:sz="4" w:space="0" w:color="1F4E79"/>
          <w:left w:val="single" w:sz="4" w:space="0" w:color="1F4E79"/>
          <w:bottom w:val="single" w:sz="4" w:space="0" w:color="1F4E79"/>
          <w:right w:val="single" w:sz="4" w:space="0" w:color="1F4E79"/>
          <w:insideH w:val="single" w:sz="4" w:space="0" w:color="BBCFE0"/>
          <w:insideV w:val="single" w:sz="4" w:space="0" w:color="BBCFE0"/>
        </w:tblBorders>
        <w:shd w:val="clear" w:color="auto" w:fill="FFFFFF"/>
        <w:tblLook w:val="04A0" w:firstRow="1" w:lastRow="0" w:firstColumn="1" w:lastColumn="0" w:noHBand="0" w:noVBand="1"/>
      </w:tblPr>
      <w:tblGrid>
        <w:gridCol w:w="2116"/>
        <w:gridCol w:w="5344"/>
        <w:gridCol w:w="1196"/>
      </w:tblGrid>
      <w:tr w:rsidR="006B593C" w14:paraId="217EFF52" w14:textId="77777777">
        <w:trPr>
          <w:tblCellSpacing w:w="0" w:type="dxa"/>
        </w:trPr>
        <w:tc>
          <w:tcPr>
            <w:tcW w:w="0" w:type="auto"/>
            <w:shd w:val="clear" w:color="auto" w:fill="D2E3F0"/>
          </w:tcPr>
          <w:p w14:paraId="3D000018" w14:textId="77777777" w:rsidR="00CB0F61" w:rsidRDefault="0084011A">
            <w:pPr>
              <w:spacing w:before="80" w:after="80"/>
            </w:pPr>
            <w:r>
              <w:rPr>
                <w:b/>
                <w:bCs/>
              </w:rPr>
              <w:t>Category</w:t>
            </w:r>
          </w:p>
        </w:tc>
        <w:tc>
          <w:tcPr>
            <w:tcW w:w="0" w:type="auto"/>
            <w:shd w:val="clear" w:color="auto" w:fill="D2E3F0"/>
          </w:tcPr>
          <w:p w14:paraId="3D000019" w14:textId="77777777" w:rsidR="00CB0F61" w:rsidRDefault="0084011A">
            <w:pPr>
              <w:spacing w:before="80" w:after="80"/>
            </w:pPr>
            <w:r>
              <w:rPr>
                <w:b/>
                <w:bCs/>
              </w:rPr>
              <w:t>Data elements</w:t>
            </w:r>
          </w:p>
        </w:tc>
        <w:tc>
          <w:tcPr>
            <w:tcW w:w="0" w:type="auto"/>
            <w:shd w:val="clear" w:color="auto" w:fill="D2E3F0"/>
          </w:tcPr>
          <w:p w14:paraId="3D00001A" w14:textId="77777777" w:rsidR="00CB0F61" w:rsidRDefault="0084011A">
            <w:pPr>
              <w:spacing w:before="80" w:after="80"/>
            </w:pPr>
            <w:r>
              <w:rPr>
                <w:b/>
                <w:bCs/>
              </w:rPr>
              <w:t>Use cases</w:t>
            </w:r>
          </w:p>
        </w:tc>
      </w:tr>
      <w:tr w:rsidR="006B593C" w14:paraId="2015C1E9" w14:textId="77777777">
        <w:tblPrEx>
          <w:tblCellSpacing w:w="0" w:type="nil"/>
        </w:tblPrEx>
        <w:tc>
          <w:tcPr>
            <w:tcW w:w="0" w:type="auto"/>
            <w:shd w:val="clear" w:color="auto" w:fill="FFFFFF"/>
          </w:tcPr>
          <w:p w14:paraId="3D00001B" w14:textId="77777777" w:rsidR="00CB0F61" w:rsidRDefault="0084011A">
            <w:pPr>
              <w:spacing w:before="80" w:after="80"/>
            </w:pPr>
            <w:r>
              <w:t>Product identification &amp; classification</w:t>
            </w:r>
          </w:p>
        </w:tc>
        <w:tc>
          <w:tcPr>
            <w:tcW w:w="0" w:type="auto"/>
            <w:shd w:val="clear" w:color="auto" w:fill="FFFFFF"/>
          </w:tcPr>
          <w:p w14:paraId="3D00001C" w14:textId="77777777" w:rsidR="00CB0F61" w:rsidRDefault="0084011A">
            <w:pPr>
              <w:spacing w:before="80" w:after="80"/>
            </w:pPr>
            <w:r>
              <w:t>Unique product identifier; product category; commodity/customs codes; batch or lot number; manufacturing date; product mass and packaging information</w:t>
            </w:r>
          </w:p>
        </w:tc>
        <w:tc>
          <w:tcPr>
            <w:tcW w:w="0" w:type="auto"/>
            <w:shd w:val="clear" w:color="auto" w:fill="FFFFFF"/>
          </w:tcPr>
          <w:p w14:paraId="3D00001D" w14:textId="77777777" w:rsidR="00CB0F61" w:rsidRDefault="0084011A">
            <w:pPr>
              <w:spacing w:before="80" w:after="80"/>
            </w:pPr>
            <w:r>
              <w:t>UC1–UC6, UC11</w:t>
            </w:r>
          </w:p>
        </w:tc>
      </w:tr>
      <w:tr w:rsidR="006B593C" w14:paraId="7DBCC84E" w14:textId="77777777">
        <w:tblPrEx>
          <w:tblCellSpacing w:w="0" w:type="nil"/>
        </w:tblPrEx>
        <w:tc>
          <w:tcPr>
            <w:tcW w:w="0" w:type="auto"/>
            <w:shd w:val="clear" w:color="auto" w:fill="F5F9FC"/>
          </w:tcPr>
          <w:p w14:paraId="3D00001E" w14:textId="77777777" w:rsidR="00CB0F61" w:rsidRDefault="0084011A">
            <w:pPr>
              <w:spacing w:before="80" w:after="80"/>
            </w:pPr>
            <w:r>
              <w:t xml:space="preserve">Producer information &amp; </w:t>
              <w:lastRenderedPageBreak/>
              <w:t>commercial transactions</w:t>
            </w:r>
          </w:p>
        </w:tc>
        <w:tc>
          <w:tcPr>
            <w:tcW w:w="0" w:type="auto"/>
            <w:shd w:val="clear" w:color="auto" w:fill="F5F9FC"/>
          </w:tcPr>
          <w:p w14:paraId="3D00001F" w14:textId="77777777" w:rsidR="00CB0F61" w:rsidRDefault="0084011A">
            <w:pPr>
              <w:spacing w:before="80" w:after="80"/>
            </w:pPr>
            <w:r>
              <w:lastRenderedPageBreak/>
              <w:t xml:space="preserve">Manufacturer identity; importer identity; responsible economic operator; country of origin; production </w:t>
              <w:lastRenderedPageBreak/>
              <w:t>site(s) and processing locations; shipment/manifest identifiers</w:t>
            </w:r>
          </w:p>
        </w:tc>
        <w:tc>
          <w:tcPr>
            <w:tcW w:w="0" w:type="auto"/>
            <w:shd w:val="clear" w:color="auto" w:fill="F5F9FC"/>
          </w:tcPr>
          <w:p w14:paraId="3D000020" w14:textId="77777777" w:rsidR="00CB0F61" w:rsidRDefault="0084011A">
            <w:pPr>
              <w:spacing w:before="80" w:after="80"/>
            </w:pPr>
            <w:r>
              <w:lastRenderedPageBreak/>
              <w:t>UC1–UC6; UC11</w:t>
            </w:r>
          </w:p>
        </w:tc>
      </w:tr>
      <w:tr w:rsidR="006B593C" w14:paraId="4E5D4F2C" w14:textId="77777777">
        <w:tblPrEx>
          <w:tblCellSpacing w:w="0" w:type="nil"/>
        </w:tblPrEx>
        <w:tc>
          <w:tcPr>
            <w:tcW w:w="0" w:type="auto"/>
            <w:shd w:val="clear" w:color="auto" w:fill="FFFFFF"/>
          </w:tcPr>
          <w:p w14:paraId="3D000021" w14:textId="77777777" w:rsidR="00CB0F61" w:rsidRDefault="0084011A">
            <w:pPr>
              <w:spacing w:before="80" w:after="80"/>
            </w:pPr>
            <w:r>
              <w:t>Product information</w:t>
            </w:r>
          </w:p>
        </w:tc>
        <w:tc>
          <w:tcPr>
            <w:tcW w:w="0" w:type="auto"/>
            <w:shd w:val="clear" w:color="auto" w:fill="FFFFFF"/>
          </w:tcPr>
          <w:p w14:paraId="3D000022" w14:textId="77777777" w:rsidR="00CB0F61" w:rsidRDefault="0084011A">
            <w:pPr>
              <w:spacing w:before="80" w:after="80"/>
            </w:pPr>
            <w:r>
              <w:t>Fibre composition (*); components specification (*); repair instructions (*); repair services offered by brand; care instructions (*); robustness score and related parameters; product guarantee; presence of substances of concern</w:t>
            </w:r>
          </w:p>
        </w:tc>
        <w:tc>
          <w:tcPr>
            <w:tcW w:w="0" w:type="auto"/>
            <w:shd w:val="clear" w:color="auto" w:fill="FFFFFF"/>
          </w:tcPr>
          <w:p w14:paraId="3D000023" w14:textId="77777777" w:rsidR="00CB0F61" w:rsidRDefault="0084011A">
            <w:pPr>
              <w:spacing w:before="80" w:after="80"/>
            </w:pPr>
            <w:r>
              <w:t>UC1–UC13</w:t>
            </w:r>
          </w:p>
        </w:tc>
      </w:tr>
      <w:tr w:rsidR="006B593C" w14:paraId="6CB327F8" w14:textId="77777777">
        <w:tblPrEx>
          <w:tblCellSpacing w:w="0" w:type="nil"/>
        </w:tblPrEx>
        <w:tc>
          <w:tcPr>
            <w:tcW w:w="0" w:type="auto"/>
            <w:shd w:val="clear" w:color="auto" w:fill="F5F9FC"/>
          </w:tcPr>
          <w:p w14:paraId="3D000024" w14:textId="77777777" w:rsidR="00CB0F61" w:rsidRDefault="0084011A">
            <w:pPr>
              <w:spacing w:before="80" w:after="80"/>
            </w:pPr>
            <w:r>
              <w:t>Sustainability-related parameters</w:t>
            </w:r>
          </w:p>
        </w:tc>
        <w:tc>
          <w:tcPr>
            <w:tcW w:w="0" w:type="auto"/>
            <w:shd w:val="clear" w:color="auto" w:fill="F5F9FC"/>
          </w:tcPr>
          <w:p w14:paraId="3D000025" w14:textId="77777777" w:rsidR="00CB0F61" w:rsidRDefault="0084011A">
            <w:pPr>
              <w:spacing w:before="80" w:after="80"/>
            </w:pPr>
            <w:r>
              <w:t>Recycled content and type of recycled inputs; organic content; recyclability score; carbon or environmental footprint; data enabling environmental monitoring</w:t>
            </w:r>
          </w:p>
        </w:tc>
        <w:tc>
          <w:tcPr>
            <w:tcW w:w="0" w:type="auto"/>
            <w:shd w:val="clear" w:color="auto" w:fill="F5F9FC"/>
          </w:tcPr>
          <w:p w14:paraId="3D000026" w14:textId="77777777" w:rsidR="00CB0F61" w:rsidRDefault="0084011A">
            <w:pPr>
              <w:spacing w:before="80" w:after="80"/>
            </w:pPr>
            <w:r>
              <w:t>UC1–UC7, UC11</w:t>
            </w:r>
          </w:p>
        </w:tc>
      </w:tr>
      <w:tr w:rsidR="006B593C" w14:paraId="30113EE5" w14:textId="77777777">
        <w:tblPrEx>
          <w:tblCellSpacing w:w="0" w:type="nil"/>
        </w:tblPrEx>
        <w:tc>
          <w:tcPr>
            <w:tcW w:w="0" w:type="auto"/>
            <w:shd w:val="clear" w:color="auto" w:fill="FFFFFF"/>
          </w:tcPr>
          <w:p w14:paraId="3D000027" w14:textId="77777777" w:rsidR="00CB0F61" w:rsidRDefault="0084011A">
            <w:pPr>
              <w:spacing w:before="80" w:after="80"/>
            </w:pPr>
            <w:r>
              <w:t>Product compliance</w:t>
            </w:r>
          </w:p>
        </w:tc>
        <w:tc>
          <w:tcPr>
            <w:tcW w:w="0" w:type="auto"/>
            <w:shd w:val="clear" w:color="auto" w:fill="FFFFFF"/>
          </w:tcPr>
          <w:p w14:paraId="3D000028" w14:textId="77777777" w:rsidR="00CB0F61" w:rsidRDefault="0084011A">
            <w:pPr>
              <w:spacing w:before="80" w:after="80"/>
            </w:pPr>
            <w:r>
              <w:t>Conformity documentation; technical certificates and test results; third-party certificates; validity of digital certificates; compliance with procurement criteria; customs verification metadata; enforcement status flags</w:t>
            </w:r>
          </w:p>
        </w:tc>
        <w:tc>
          <w:tcPr>
            <w:tcW w:w="0" w:type="auto"/>
            <w:shd w:val="clear" w:color="auto" w:fill="FFFFFF"/>
          </w:tcPr>
          <w:p w14:paraId="3D000029" w14:textId="77777777" w:rsidR="00CB0F61" w:rsidRDefault="0084011A">
            <w:pPr>
              <w:spacing w:before="80" w:after="80"/>
            </w:pPr>
            <w:r>
              <w:t>UC1, UC2, UC3, UC6, UC11</w:t>
            </w:r>
          </w:p>
        </w:tc>
      </w:tr>
    </w:tbl>
    <w:p w14:paraId="3D00002A" w14:textId="77777777" w:rsidR="00CB0F61" w:rsidRPr="0003089A" w:rsidRDefault="0084011A" w:rsidP="0003089A">
      <w:pPr>
        <w:rPr>
          <w:sz w:val="18"/>
          <w:szCs w:val="18"/>
        </w:rPr>
      </w:pPr>
      <w:r>
        <w:rPr>
          <w:sz w:val="18"/>
          <w:szCs w:val="18"/>
        </w:rPr>
        <w:t>Table 1. Proposed DPP data categories and elements for textile and apparel products (adapted from González-Torres &amp; Arcipowska, 2026, Table 4). Items marked (*) are flagged in the source for one of two reasons: fibre composition and care instructions are already mandatory disclosures under the Textile Labelling Regulation (their inclusion in the DPP enables the ESPR use cases rather than making them voluntary), while repair instructions and components specification are de-prioritised because the analysis of user behaviour did not identify lack of information as a main barrier to repair, so their burden may outweigh their benefit.</w:t>
      </w:r>
    </w:p>
    <w:p w14:paraId="3D00002B" w14:textId="77777777" w:rsidR="00CB0F61" w:rsidRDefault="0084011A" w:rsidP="00A06ACF">
      <w:r>
        <w:t>Within this structure, fibre composition, substances of concern, and sustainability-related parameters (notably recycled content and recyclability score) are the data categories with the highest cross-use-case relevance: they appear in use cases spanning consumer information, market surveillance, and end-of-life operations. The study explicitly confirms that fibre composition data — already mandatory under the Textile Labelling Regulation (EU) No 1007/2011 — is among the data points with the highest existing industry readiness, making it both a natural starting point for a compliant DPP and the data point where a molecular verification layer (as proposed by M-DPP) adds the most immediate value by distinguishing declared from evidenced composition.</w:t>
      </w:r>
    </w:p>
    <w:p w14:paraId="3D00002C" w14:textId="77777777" w:rsidR="00CB0F61" w:rsidRDefault="0084011A" w:rsidP="00F30CA6">
      <w:r>
        <w:t>Table 1 also establishes the scope of what lies outside the DPP’s immediate regulatory reach. Intermediate products — fabrics, yarns, raw fibres — are not subject to their own DPP obligation under the textile delegated act. Data on these upstream stages must be obtained through commercial supply chain relationships or, as M-DPP proposes, through third-party analytical methods that can generate composition evidence independently of supplier declarations.</w:t>
      </w:r>
    </w:p>
    <w:p w14:paraId="3D00002D" w14:textId="77777777" w:rsidR="00CB0F61" w:rsidRDefault="0084011A">
      <w:pPr>
        <w:pStyle w:val="Heading2"/>
      </w:pPr>
      <w:bookmarkStart w:id="20" w:name="_Toc_s3_6"/>
      <w:bookmarkStart w:id="21" w:name="_Toc232001080"/>
      <w:r>
        <w:t>3.6  Proposed Granularity Levels by Data Field</w:t>
      </w:r>
      <w:bookmarkEnd w:id="20"/>
      <w:bookmarkEnd w:id="21"/>
    </w:p>
    <w:p w14:paraId="3D00002E" w14:textId="1F07C46E" w:rsidR="00D60EF1" w:rsidRDefault="0084011A" w:rsidP="00DA1E5C">
      <w:r>
        <w:t>The textile preparatory study provides the most concrete available guidance on data field granularity, organised by data category and specific field. Table 2 below reproduces the proposed granularity levels from the study’s Table 13, which provides the analytical basis for the M-DPP system’s own granularity design (discussed further in the Annex and in Section 5). Fields proposed on a voluntary basis are marked with an asterisk.</w:t>
      </w:r>
    </w:p>
    <w:p w14:paraId="04232B35" w14:textId="77777777" w:rsidR="00161D1B" w:rsidRDefault="00161D1B">
      <w:r>
        <w:br w:type="page"/>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00"/>
        <w:gridCol w:w="4275"/>
        <w:gridCol w:w="2551"/>
      </w:tblGrid>
      <w:tr w:rsidR="00161D1B" w:rsidRPr="00161D1B" w14:paraId="24207F93" w14:textId="77777777" w:rsidTr="003B10E2">
        <w:tblPrEx>
          <w:tblCellMar>
            <w:top w:w="0" w:type="dxa"/>
            <w:bottom w:w="0" w:type="dxa"/>
          </w:tblCellMar>
        </w:tblPrEx>
        <w:trPr>
          <w:trHeight w:val="20"/>
          <w:tblHeader/>
        </w:trPr>
        <w:tc>
          <w:tcPr>
            <w:tcW w:w="2200" w:type="dxa"/>
            <w:tcBorders>
              <w:top w:val="single" w:sz="4" w:space="0" w:color="BBCFE0"/>
              <w:left w:val="single" w:sz="4" w:space="0" w:color="BBCFE0"/>
              <w:bottom w:val="single" w:sz="4" w:space="0" w:color="BBCFE0"/>
              <w:right w:val="single" w:sz="4" w:space="0" w:color="BBCFE0"/>
            </w:tcBorders>
            <w:shd w:val="clear" w:color="auto" w:fill="1F4E79"/>
            <w:tcMar>
              <w:top w:w="80" w:type="dxa"/>
              <w:left w:w="120" w:type="dxa"/>
              <w:bottom w:w="80" w:type="dxa"/>
              <w:right w:w="120" w:type="dxa"/>
            </w:tcMar>
            <w:vAlign w:val="center"/>
          </w:tcPr>
          <w:p w14:paraId="1327AE32" w14:textId="34217F73" w:rsidR="00161D1B" w:rsidRPr="00161D1B" w:rsidRDefault="00161D1B" w:rsidP="006717DC">
            <w:pPr>
              <w:rPr>
                <w:sz w:val="16"/>
                <w:szCs w:val="16"/>
              </w:rPr>
            </w:pPr>
            <w:r>
              <w:rPr>
                <w:b/>
                <w:bCs/>
                <w:color w:val="FFFFFF"/>
                <w:sz w:val="16"/>
                <w:szCs w:val="16"/>
              </w:rPr>
              <w:lastRenderedPageBreak/>
              <w:t>Data Category</w:t>
            </w:r>
          </w:p>
        </w:tc>
        <w:tc>
          <w:tcPr>
            <w:tcW w:w="4275" w:type="dxa"/>
            <w:tcBorders>
              <w:top w:val="single" w:sz="4" w:space="0" w:color="BBCFE0"/>
              <w:left w:val="single" w:sz="4" w:space="0" w:color="BBCFE0"/>
              <w:bottom w:val="single" w:sz="4" w:space="0" w:color="BBCFE0"/>
              <w:right w:val="single" w:sz="4" w:space="0" w:color="BBCFE0"/>
            </w:tcBorders>
            <w:shd w:val="clear" w:color="auto" w:fill="1F4E79"/>
            <w:tcMar>
              <w:top w:w="80" w:type="dxa"/>
              <w:left w:w="120" w:type="dxa"/>
              <w:bottom w:w="80" w:type="dxa"/>
              <w:right w:w="120" w:type="dxa"/>
            </w:tcMar>
            <w:vAlign w:val="center"/>
          </w:tcPr>
          <w:p w14:paraId="74526191" w14:textId="77777777" w:rsidR="00161D1B" w:rsidRPr="00161D1B" w:rsidRDefault="00161D1B" w:rsidP="006717DC">
            <w:pPr>
              <w:rPr>
                <w:sz w:val="16"/>
                <w:szCs w:val="16"/>
              </w:rPr>
            </w:pPr>
            <w:r>
              <w:rPr>
                <w:b/>
                <w:bCs/>
                <w:color w:val="FFFFFF"/>
                <w:sz w:val="16"/>
                <w:szCs w:val="16"/>
              </w:rPr>
              <w:t>Data Field</w:t>
            </w:r>
          </w:p>
        </w:tc>
        <w:tc>
          <w:tcPr>
            <w:tcW w:w="2551" w:type="dxa"/>
            <w:tcBorders>
              <w:top w:val="single" w:sz="4" w:space="0" w:color="BBCFE0"/>
              <w:left w:val="single" w:sz="4" w:space="0" w:color="BBCFE0"/>
              <w:bottom w:val="single" w:sz="4" w:space="0" w:color="BBCFE0"/>
              <w:right w:val="single" w:sz="4" w:space="0" w:color="BBCFE0"/>
            </w:tcBorders>
            <w:shd w:val="clear" w:color="auto" w:fill="1F4E79"/>
            <w:tcMar>
              <w:top w:w="80" w:type="dxa"/>
              <w:left w:w="120" w:type="dxa"/>
              <w:bottom w:w="80" w:type="dxa"/>
              <w:right w:w="120" w:type="dxa"/>
            </w:tcMar>
            <w:vAlign w:val="center"/>
          </w:tcPr>
          <w:p w14:paraId="1775FABA" w14:textId="77777777" w:rsidR="00161D1B" w:rsidRPr="00161D1B" w:rsidRDefault="00161D1B" w:rsidP="006717DC">
            <w:pPr>
              <w:rPr>
                <w:sz w:val="16"/>
                <w:szCs w:val="16"/>
              </w:rPr>
            </w:pPr>
            <w:r>
              <w:rPr>
                <w:b/>
                <w:bCs/>
                <w:color w:val="FFFFFF"/>
                <w:sz w:val="16"/>
                <w:szCs w:val="16"/>
              </w:rPr>
              <w:t>Recommended Granularity Level</w:t>
            </w:r>
          </w:p>
        </w:tc>
      </w:tr>
      <w:tr w:rsidR="00161D1B" w:rsidRPr="00161D1B" w14:paraId="1958721F" w14:textId="77777777" w:rsidTr="003B10E2">
        <w:tblPrEx>
          <w:tblCellMar>
            <w:top w:w="0" w:type="dxa"/>
            <w:bottom w:w="0" w:type="dxa"/>
          </w:tblCellMar>
        </w:tblPrEx>
        <w:trPr>
          <w:trHeight w:val="387"/>
        </w:trPr>
        <w:tc>
          <w:tcPr>
            <w:tcW w:w="2200" w:type="dxa"/>
            <w:vMerge w:val="restart"/>
            <w:tcBorders>
              <w:top w:val="single" w:sz="4" w:space="0" w:color="BBCFE0"/>
              <w:left w:val="single" w:sz="4" w:space="0" w:color="BBCFE0"/>
              <w:bottom w:val="single" w:sz="4" w:space="0" w:color="BBCFE0"/>
              <w:right w:val="single" w:sz="4" w:space="0" w:color="BBCFE0"/>
            </w:tcBorders>
            <w:shd w:val="clear" w:color="auto" w:fill="D2E3F0"/>
            <w:tcMar>
              <w:top w:w="80" w:type="dxa"/>
              <w:left w:w="120" w:type="dxa"/>
              <w:bottom w:w="80" w:type="dxa"/>
              <w:right w:w="120" w:type="dxa"/>
            </w:tcMar>
            <w:vAlign w:val="center"/>
          </w:tcPr>
          <w:p w14:paraId="0DCAE141" w14:textId="77777777" w:rsidR="00161D1B" w:rsidRPr="00161D1B" w:rsidRDefault="00161D1B" w:rsidP="006717DC">
            <w:pPr>
              <w:rPr>
                <w:sz w:val="16"/>
                <w:szCs w:val="16"/>
              </w:rPr>
            </w:pPr>
            <w:r>
              <w:rPr>
                <w:b/>
                <w:bCs/>
                <w:color w:val="1F4E79"/>
                <w:sz w:val="16"/>
                <w:szCs w:val="16"/>
              </w:rPr>
              <w:t>Identification &amp; Classification</w:t>
            </w:r>
          </w:p>
        </w:tc>
        <w:tc>
          <w:tcPr>
            <w:tcW w:w="4275" w:type="dxa"/>
            <w:tcBorders>
              <w:top w:val="single" w:sz="4" w:space="0" w:color="BBCFE0"/>
              <w:left w:val="single" w:sz="4" w:space="0" w:color="BBCFE0"/>
              <w:bottom w:val="single" w:sz="4" w:space="0" w:color="BBCFE0"/>
              <w:right w:val="single" w:sz="4" w:space="0" w:color="BBCFE0"/>
            </w:tcBorders>
            <w:shd w:val="clear" w:color="auto" w:fill="FFFFFF"/>
            <w:tcMar>
              <w:top w:w="80" w:type="dxa"/>
              <w:left w:w="120" w:type="dxa"/>
              <w:bottom w:w="80" w:type="dxa"/>
              <w:right w:w="120" w:type="dxa"/>
            </w:tcMar>
          </w:tcPr>
          <w:p w14:paraId="3B302C97" w14:textId="77777777" w:rsidR="00161D1B" w:rsidRPr="00161D1B" w:rsidRDefault="00161D1B" w:rsidP="006717DC">
            <w:pPr>
              <w:rPr>
                <w:sz w:val="16"/>
                <w:szCs w:val="16"/>
              </w:rPr>
            </w:pPr>
            <w:r>
              <w:rPr>
                <w:sz w:val="16"/>
                <w:szCs w:val="16"/>
              </w:rPr>
              <w:t>Unique Product ID *</w:t>
            </w:r>
          </w:p>
        </w:tc>
        <w:tc>
          <w:tcPr>
            <w:tcW w:w="2551" w:type="dxa"/>
            <w:tcBorders>
              <w:top w:val="single" w:sz="4" w:space="0" w:color="BBCFE0"/>
              <w:left w:val="single" w:sz="4" w:space="0" w:color="BBCFE0"/>
              <w:bottom w:val="single" w:sz="4" w:space="0" w:color="BBCFE0"/>
              <w:right w:val="single" w:sz="4" w:space="0" w:color="BBCFE0"/>
            </w:tcBorders>
            <w:shd w:val="clear" w:color="auto" w:fill="FFFFFF"/>
            <w:tcMar>
              <w:top w:w="80" w:type="dxa"/>
              <w:left w:w="120" w:type="dxa"/>
              <w:bottom w:w="80" w:type="dxa"/>
              <w:right w:w="120" w:type="dxa"/>
            </w:tcMar>
          </w:tcPr>
          <w:p w14:paraId="422B7C9D" w14:textId="77777777" w:rsidR="00161D1B" w:rsidRPr="00161D1B" w:rsidRDefault="00161D1B" w:rsidP="006717DC">
            <w:pPr>
              <w:rPr>
                <w:sz w:val="16"/>
                <w:szCs w:val="16"/>
              </w:rPr>
            </w:pPr>
            <w:r>
              <w:rPr>
                <w:sz w:val="16"/>
                <w:szCs w:val="16"/>
              </w:rPr>
              <w:t>Item</w:t>
            </w:r>
          </w:p>
        </w:tc>
      </w:tr>
      <w:tr w:rsidR="00161D1B" w:rsidRPr="00161D1B" w14:paraId="41511546" w14:textId="77777777" w:rsidTr="003B10E2">
        <w:tblPrEx>
          <w:tblCellMar>
            <w:top w:w="0" w:type="dxa"/>
            <w:bottom w:w="0" w:type="dxa"/>
          </w:tblCellMar>
        </w:tblPrEx>
        <w:trPr>
          <w:trHeight w:val="153"/>
        </w:trPr>
        <w:tc>
          <w:tcPr>
            <w:tcW w:w="0" w:type="auto"/>
            <w:vMerge/>
            <w:tcBorders>
              <w:top w:val="single" w:sz="4" w:space="0" w:color="BBCFE0"/>
              <w:left w:val="single" w:sz="4" w:space="0" w:color="BBCFE0"/>
              <w:bottom w:val="single" w:sz="4" w:space="0" w:color="BBCFE0"/>
              <w:right w:val="single" w:sz="4" w:space="0" w:color="BBCFE0"/>
            </w:tcBorders>
          </w:tcPr>
          <w:p w14:paraId="711ED5FE" w14:textId="77777777" w:rsidR="00161D1B" w:rsidRPr="00161D1B" w:rsidRDefault="00161D1B" w:rsidP="006717DC">
            <w:pPr>
              <w:rPr>
                <w:sz w:val="16"/>
                <w:szCs w:val="16"/>
              </w:rPr>
            </w:pPr>
          </w:p>
        </w:tc>
        <w:tc>
          <w:tcPr>
            <w:tcW w:w="4275" w:type="dxa"/>
            <w:tcBorders>
              <w:top w:val="single" w:sz="4" w:space="0" w:color="BBCFE0"/>
              <w:left w:val="single" w:sz="4" w:space="0" w:color="BBCFE0"/>
              <w:bottom w:val="single" w:sz="4" w:space="0" w:color="BBCFE0"/>
              <w:right w:val="single" w:sz="4" w:space="0" w:color="BBCFE0"/>
            </w:tcBorders>
            <w:shd w:val="clear" w:color="auto" w:fill="EAF1F8"/>
            <w:tcMar>
              <w:top w:w="80" w:type="dxa"/>
              <w:left w:w="120" w:type="dxa"/>
              <w:bottom w:w="80" w:type="dxa"/>
              <w:right w:w="120" w:type="dxa"/>
            </w:tcMar>
          </w:tcPr>
          <w:p w14:paraId="47045D18" w14:textId="77777777" w:rsidR="00161D1B" w:rsidRPr="00161D1B" w:rsidRDefault="00161D1B" w:rsidP="006717DC">
            <w:pPr>
              <w:rPr>
                <w:sz w:val="16"/>
                <w:szCs w:val="16"/>
              </w:rPr>
            </w:pPr>
            <w:r>
              <w:rPr>
                <w:sz w:val="16"/>
                <w:szCs w:val="16"/>
              </w:rPr>
              <w:t>Batch ID</w:t>
            </w:r>
          </w:p>
        </w:tc>
        <w:tc>
          <w:tcPr>
            <w:tcW w:w="2551" w:type="dxa"/>
            <w:tcBorders>
              <w:top w:val="single" w:sz="4" w:space="0" w:color="BBCFE0"/>
              <w:left w:val="single" w:sz="4" w:space="0" w:color="BBCFE0"/>
              <w:bottom w:val="single" w:sz="4" w:space="0" w:color="BBCFE0"/>
              <w:right w:val="single" w:sz="4" w:space="0" w:color="BBCFE0"/>
            </w:tcBorders>
            <w:shd w:val="clear" w:color="auto" w:fill="EAF1F8"/>
            <w:tcMar>
              <w:top w:w="80" w:type="dxa"/>
              <w:left w:w="120" w:type="dxa"/>
              <w:bottom w:w="80" w:type="dxa"/>
              <w:right w:w="120" w:type="dxa"/>
            </w:tcMar>
          </w:tcPr>
          <w:p w14:paraId="0D744A3F" w14:textId="77777777" w:rsidR="00161D1B" w:rsidRPr="00161D1B" w:rsidRDefault="00161D1B" w:rsidP="006717DC">
            <w:pPr>
              <w:rPr>
                <w:sz w:val="16"/>
                <w:szCs w:val="16"/>
              </w:rPr>
            </w:pPr>
            <w:r>
              <w:rPr>
                <w:sz w:val="16"/>
                <w:szCs w:val="16"/>
              </w:rPr>
              <w:t>Batch</w:t>
            </w:r>
          </w:p>
        </w:tc>
      </w:tr>
      <w:tr w:rsidR="00161D1B" w:rsidRPr="00161D1B" w14:paraId="6631560D" w14:textId="77777777" w:rsidTr="003B10E2">
        <w:tblPrEx>
          <w:tblCellMar>
            <w:top w:w="0" w:type="dxa"/>
            <w:bottom w:w="0" w:type="dxa"/>
          </w:tblCellMar>
        </w:tblPrEx>
        <w:trPr>
          <w:trHeight w:val="189"/>
        </w:trPr>
        <w:tc>
          <w:tcPr>
            <w:tcW w:w="0" w:type="auto"/>
            <w:vMerge/>
            <w:tcBorders>
              <w:top w:val="single" w:sz="4" w:space="0" w:color="BBCFE0"/>
              <w:left w:val="single" w:sz="4" w:space="0" w:color="BBCFE0"/>
              <w:bottom w:val="single" w:sz="4" w:space="0" w:color="BBCFE0"/>
              <w:right w:val="single" w:sz="4" w:space="0" w:color="BBCFE0"/>
            </w:tcBorders>
          </w:tcPr>
          <w:p w14:paraId="5EA9F5B8" w14:textId="77777777" w:rsidR="00161D1B" w:rsidRPr="00161D1B" w:rsidRDefault="00161D1B" w:rsidP="006717DC">
            <w:pPr>
              <w:rPr>
                <w:sz w:val="16"/>
                <w:szCs w:val="16"/>
              </w:rPr>
            </w:pPr>
          </w:p>
        </w:tc>
        <w:tc>
          <w:tcPr>
            <w:tcW w:w="4275" w:type="dxa"/>
            <w:tcBorders>
              <w:top w:val="single" w:sz="4" w:space="0" w:color="BBCFE0"/>
              <w:left w:val="single" w:sz="4" w:space="0" w:color="BBCFE0"/>
              <w:bottom w:val="single" w:sz="4" w:space="0" w:color="BBCFE0"/>
              <w:right w:val="single" w:sz="4" w:space="0" w:color="BBCFE0"/>
            </w:tcBorders>
            <w:shd w:val="clear" w:color="auto" w:fill="FFFFFF"/>
            <w:tcMar>
              <w:top w:w="80" w:type="dxa"/>
              <w:left w:w="120" w:type="dxa"/>
              <w:bottom w:w="80" w:type="dxa"/>
              <w:right w:w="120" w:type="dxa"/>
            </w:tcMar>
          </w:tcPr>
          <w:p w14:paraId="39448523" w14:textId="77777777" w:rsidR="00161D1B" w:rsidRPr="00161D1B" w:rsidRDefault="00161D1B" w:rsidP="006717DC">
            <w:pPr>
              <w:rPr>
                <w:sz w:val="16"/>
                <w:szCs w:val="16"/>
              </w:rPr>
            </w:pPr>
            <w:r>
              <w:rPr>
                <w:sz w:val="16"/>
                <w:szCs w:val="16"/>
              </w:rPr>
              <w:t>Model ID</w:t>
            </w:r>
          </w:p>
        </w:tc>
        <w:tc>
          <w:tcPr>
            <w:tcW w:w="2551" w:type="dxa"/>
            <w:tcBorders>
              <w:top w:val="single" w:sz="4" w:space="0" w:color="BBCFE0"/>
              <w:left w:val="single" w:sz="4" w:space="0" w:color="BBCFE0"/>
              <w:bottom w:val="single" w:sz="4" w:space="0" w:color="BBCFE0"/>
              <w:right w:val="single" w:sz="4" w:space="0" w:color="BBCFE0"/>
            </w:tcBorders>
            <w:shd w:val="clear" w:color="auto" w:fill="FFFFFF"/>
            <w:tcMar>
              <w:top w:w="80" w:type="dxa"/>
              <w:left w:w="120" w:type="dxa"/>
              <w:bottom w:w="80" w:type="dxa"/>
              <w:right w:w="120" w:type="dxa"/>
            </w:tcMar>
          </w:tcPr>
          <w:p w14:paraId="14B45BC5" w14:textId="77777777" w:rsidR="00161D1B" w:rsidRPr="00161D1B" w:rsidRDefault="00161D1B" w:rsidP="006717DC">
            <w:pPr>
              <w:rPr>
                <w:sz w:val="16"/>
                <w:szCs w:val="16"/>
              </w:rPr>
            </w:pPr>
            <w:r>
              <w:rPr>
                <w:sz w:val="16"/>
                <w:szCs w:val="16"/>
              </w:rPr>
              <w:t>Model</w:t>
            </w:r>
          </w:p>
        </w:tc>
      </w:tr>
      <w:tr w:rsidR="00161D1B" w:rsidRPr="00161D1B" w14:paraId="48E9DEC1" w14:textId="77777777" w:rsidTr="003B10E2">
        <w:tblPrEx>
          <w:tblCellMar>
            <w:top w:w="0" w:type="dxa"/>
            <w:bottom w:w="0" w:type="dxa"/>
          </w:tblCellMar>
        </w:tblPrEx>
        <w:trPr>
          <w:trHeight w:val="234"/>
        </w:trPr>
        <w:tc>
          <w:tcPr>
            <w:tcW w:w="0" w:type="auto"/>
            <w:vMerge/>
            <w:tcBorders>
              <w:top w:val="single" w:sz="4" w:space="0" w:color="BBCFE0"/>
              <w:left w:val="single" w:sz="4" w:space="0" w:color="BBCFE0"/>
              <w:bottom w:val="single" w:sz="4" w:space="0" w:color="BBCFE0"/>
              <w:right w:val="single" w:sz="4" w:space="0" w:color="BBCFE0"/>
            </w:tcBorders>
          </w:tcPr>
          <w:p w14:paraId="0DBF277D" w14:textId="77777777" w:rsidR="00161D1B" w:rsidRPr="00161D1B" w:rsidRDefault="00161D1B" w:rsidP="006717DC">
            <w:pPr>
              <w:rPr>
                <w:sz w:val="16"/>
                <w:szCs w:val="16"/>
              </w:rPr>
            </w:pPr>
          </w:p>
        </w:tc>
        <w:tc>
          <w:tcPr>
            <w:tcW w:w="4275" w:type="dxa"/>
            <w:tcBorders>
              <w:top w:val="single" w:sz="4" w:space="0" w:color="BBCFE0"/>
              <w:left w:val="single" w:sz="4" w:space="0" w:color="BBCFE0"/>
              <w:bottom w:val="single" w:sz="4" w:space="0" w:color="BBCFE0"/>
              <w:right w:val="single" w:sz="4" w:space="0" w:color="BBCFE0"/>
            </w:tcBorders>
            <w:shd w:val="clear" w:color="auto" w:fill="EAF1F8"/>
            <w:tcMar>
              <w:top w:w="80" w:type="dxa"/>
              <w:left w:w="120" w:type="dxa"/>
              <w:bottom w:w="80" w:type="dxa"/>
              <w:right w:w="120" w:type="dxa"/>
            </w:tcMar>
          </w:tcPr>
          <w:p w14:paraId="795A9610" w14:textId="77777777" w:rsidR="00161D1B" w:rsidRPr="00161D1B" w:rsidRDefault="00161D1B" w:rsidP="006717DC">
            <w:pPr>
              <w:rPr>
                <w:sz w:val="16"/>
                <w:szCs w:val="16"/>
              </w:rPr>
            </w:pPr>
            <w:r>
              <w:rPr>
                <w:sz w:val="16"/>
                <w:szCs w:val="16"/>
              </w:rPr>
              <w:t>ESPR and PEFCR product category</w:t>
            </w:r>
          </w:p>
        </w:tc>
        <w:tc>
          <w:tcPr>
            <w:tcW w:w="2551" w:type="dxa"/>
            <w:tcBorders>
              <w:top w:val="single" w:sz="4" w:space="0" w:color="BBCFE0"/>
              <w:left w:val="single" w:sz="4" w:space="0" w:color="BBCFE0"/>
              <w:bottom w:val="single" w:sz="4" w:space="0" w:color="BBCFE0"/>
              <w:right w:val="single" w:sz="4" w:space="0" w:color="BBCFE0"/>
            </w:tcBorders>
            <w:shd w:val="clear" w:color="auto" w:fill="EAF1F8"/>
            <w:tcMar>
              <w:top w:w="80" w:type="dxa"/>
              <w:left w:w="120" w:type="dxa"/>
              <w:bottom w:w="80" w:type="dxa"/>
              <w:right w:w="120" w:type="dxa"/>
            </w:tcMar>
          </w:tcPr>
          <w:p w14:paraId="233BD1BC" w14:textId="77777777" w:rsidR="00161D1B" w:rsidRPr="00161D1B" w:rsidRDefault="00161D1B" w:rsidP="006717DC">
            <w:pPr>
              <w:rPr>
                <w:sz w:val="16"/>
                <w:szCs w:val="16"/>
              </w:rPr>
            </w:pPr>
            <w:r>
              <w:rPr>
                <w:sz w:val="16"/>
                <w:szCs w:val="16"/>
              </w:rPr>
              <w:t>Model</w:t>
            </w:r>
          </w:p>
        </w:tc>
      </w:tr>
      <w:tr w:rsidR="00161D1B" w:rsidRPr="00161D1B" w14:paraId="7B220EE7" w14:textId="77777777" w:rsidTr="003B10E2">
        <w:tblPrEx>
          <w:tblCellMar>
            <w:top w:w="0" w:type="dxa"/>
            <w:bottom w:w="0" w:type="dxa"/>
          </w:tblCellMar>
        </w:tblPrEx>
        <w:trPr>
          <w:trHeight w:val="20"/>
        </w:trPr>
        <w:tc>
          <w:tcPr>
            <w:tcW w:w="0" w:type="auto"/>
            <w:vMerge/>
            <w:tcBorders>
              <w:top w:val="single" w:sz="4" w:space="0" w:color="BBCFE0"/>
              <w:left w:val="single" w:sz="4" w:space="0" w:color="BBCFE0"/>
              <w:bottom w:val="single" w:sz="4" w:space="0" w:color="BBCFE0"/>
              <w:right w:val="single" w:sz="4" w:space="0" w:color="BBCFE0"/>
            </w:tcBorders>
          </w:tcPr>
          <w:p w14:paraId="4F137A90" w14:textId="77777777" w:rsidR="00161D1B" w:rsidRPr="00161D1B" w:rsidRDefault="00161D1B" w:rsidP="006717DC">
            <w:pPr>
              <w:rPr>
                <w:sz w:val="16"/>
                <w:szCs w:val="16"/>
              </w:rPr>
            </w:pPr>
          </w:p>
        </w:tc>
        <w:tc>
          <w:tcPr>
            <w:tcW w:w="4275" w:type="dxa"/>
            <w:tcBorders>
              <w:top w:val="single" w:sz="4" w:space="0" w:color="BBCFE0"/>
              <w:left w:val="single" w:sz="4" w:space="0" w:color="BBCFE0"/>
              <w:bottom w:val="single" w:sz="4" w:space="0" w:color="BBCFE0"/>
              <w:right w:val="single" w:sz="4" w:space="0" w:color="BBCFE0"/>
            </w:tcBorders>
            <w:shd w:val="clear" w:color="auto" w:fill="FFFFFF"/>
            <w:tcMar>
              <w:top w:w="80" w:type="dxa"/>
              <w:left w:w="120" w:type="dxa"/>
              <w:bottom w:w="80" w:type="dxa"/>
              <w:right w:w="120" w:type="dxa"/>
            </w:tcMar>
          </w:tcPr>
          <w:p w14:paraId="3951C818" w14:textId="77777777" w:rsidR="00161D1B" w:rsidRPr="00161D1B" w:rsidRDefault="00161D1B" w:rsidP="006717DC">
            <w:pPr>
              <w:rPr>
                <w:sz w:val="16"/>
                <w:szCs w:val="16"/>
              </w:rPr>
            </w:pPr>
            <w:r>
              <w:rPr>
                <w:sz w:val="16"/>
                <w:szCs w:val="16"/>
              </w:rPr>
              <w:t>Commodity code</w:t>
            </w:r>
          </w:p>
        </w:tc>
        <w:tc>
          <w:tcPr>
            <w:tcW w:w="2551" w:type="dxa"/>
            <w:tcBorders>
              <w:top w:val="single" w:sz="4" w:space="0" w:color="BBCFE0"/>
              <w:left w:val="single" w:sz="4" w:space="0" w:color="BBCFE0"/>
              <w:bottom w:val="single" w:sz="4" w:space="0" w:color="BBCFE0"/>
              <w:right w:val="single" w:sz="4" w:space="0" w:color="BBCFE0"/>
            </w:tcBorders>
            <w:shd w:val="clear" w:color="auto" w:fill="FFFFFF"/>
            <w:tcMar>
              <w:top w:w="80" w:type="dxa"/>
              <w:left w:w="120" w:type="dxa"/>
              <w:bottom w:w="80" w:type="dxa"/>
              <w:right w:w="120" w:type="dxa"/>
            </w:tcMar>
          </w:tcPr>
          <w:p w14:paraId="11761C22" w14:textId="77777777" w:rsidR="00161D1B" w:rsidRPr="00161D1B" w:rsidRDefault="00161D1B" w:rsidP="006717DC">
            <w:pPr>
              <w:rPr>
                <w:sz w:val="16"/>
                <w:szCs w:val="16"/>
              </w:rPr>
            </w:pPr>
            <w:r>
              <w:rPr>
                <w:sz w:val="16"/>
                <w:szCs w:val="16"/>
              </w:rPr>
              <w:t>Model</w:t>
            </w:r>
          </w:p>
        </w:tc>
      </w:tr>
      <w:tr w:rsidR="00161D1B" w:rsidRPr="00161D1B" w14:paraId="0FC90C6E" w14:textId="77777777" w:rsidTr="003B10E2">
        <w:tblPrEx>
          <w:tblCellMar>
            <w:top w:w="0" w:type="dxa"/>
            <w:bottom w:w="0" w:type="dxa"/>
          </w:tblCellMar>
        </w:tblPrEx>
        <w:trPr>
          <w:trHeight w:val="20"/>
        </w:trPr>
        <w:tc>
          <w:tcPr>
            <w:tcW w:w="2200" w:type="dxa"/>
            <w:vMerge w:val="restart"/>
            <w:tcBorders>
              <w:top w:val="single" w:sz="4" w:space="0" w:color="BBCFE0"/>
              <w:left w:val="single" w:sz="4" w:space="0" w:color="BBCFE0"/>
              <w:bottom w:val="single" w:sz="4" w:space="0" w:color="BBCFE0"/>
              <w:right w:val="single" w:sz="4" w:space="0" w:color="BBCFE0"/>
            </w:tcBorders>
            <w:shd w:val="clear" w:color="auto" w:fill="D2E3F0"/>
            <w:tcMar>
              <w:top w:w="80" w:type="dxa"/>
              <w:left w:w="120" w:type="dxa"/>
              <w:bottom w:w="80" w:type="dxa"/>
              <w:right w:w="120" w:type="dxa"/>
            </w:tcMar>
            <w:vAlign w:val="center"/>
          </w:tcPr>
          <w:p w14:paraId="64A2A9DA" w14:textId="77777777" w:rsidR="00161D1B" w:rsidRPr="00161D1B" w:rsidRDefault="00161D1B" w:rsidP="006717DC">
            <w:pPr>
              <w:rPr>
                <w:sz w:val="16"/>
                <w:szCs w:val="16"/>
              </w:rPr>
            </w:pPr>
            <w:r>
              <w:rPr>
                <w:b/>
                <w:bCs/>
                <w:color w:val="1F4E79"/>
                <w:sz w:val="16"/>
                <w:szCs w:val="16"/>
              </w:rPr>
              <w:t>Producer Identification</w:t>
            </w:r>
          </w:p>
        </w:tc>
        <w:tc>
          <w:tcPr>
            <w:tcW w:w="4275" w:type="dxa"/>
            <w:tcBorders>
              <w:top w:val="single" w:sz="4" w:space="0" w:color="BBCFE0"/>
              <w:left w:val="single" w:sz="4" w:space="0" w:color="BBCFE0"/>
              <w:bottom w:val="single" w:sz="4" w:space="0" w:color="BBCFE0"/>
              <w:right w:val="single" w:sz="4" w:space="0" w:color="BBCFE0"/>
            </w:tcBorders>
            <w:shd w:val="clear" w:color="auto" w:fill="EAF1F8"/>
            <w:tcMar>
              <w:top w:w="80" w:type="dxa"/>
              <w:left w:w="120" w:type="dxa"/>
              <w:bottom w:w="80" w:type="dxa"/>
              <w:right w:w="120" w:type="dxa"/>
            </w:tcMar>
          </w:tcPr>
          <w:p w14:paraId="4F5B0CA7" w14:textId="77777777" w:rsidR="00161D1B" w:rsidRPr="00161D1B" w:rsidRDefault="00161D1B" w:rsidP="006717DC">
            <w:pPr>
              <w:rPr>
                <w:sz w:val="16"/>
                <w:szCs w:val="16"/>
              </w:rPr>
            </w:pPr>
            <w:r>
              <w:rPr>
                <w:sz w:val="16"/>
                <w:szCs w:val="16"/>
              </w:rPr>
              <w:t>Unique operator identifier (manufacturer, importer, other)</w:t>
            </w:r>
          </w:p>
        </w:tc>
        <w:tc>
          <w:tcPr>
            <w:tcW w:w="2551" w:type="dxa"/>
            <w:tcBorders>
              <w:top w:val="single" w:sz="4" w:space="0" w:color="BBCFE0"/>
              <w:left w:val="single" w:sz="4" w:space="0" w:color="BBCFE0"/>
              <w:bottom w:val="single" w:sz="4" w:space="0" w:color="BBCFE0"/>
              <w:right w:val="single" w:sz="4" w:space="0" w:color="BBCFE0"/>
            </w:tcBorders>
            <w:shd w:val="clear" w:color="auto" w:fill="EAF1F8"/>
            <w:tcMar>
              <w:top w:w="80" w:type="dxa"/>
              <w:left w:w="120" w:type="dxa"/>
              <w:bottom w:w="80" w:type="dxa"/>
              <w:right w:w="120" w:type="dxa"/>
            </w:tcMar>
          </w:tcPr>
          <w:p w14:paraId="73013131" w14:textId="77777777" w:rsidR="00161D1B" w:rsidRPr="00161D1B" w:rsidRDefault="00161D1B" w:rsidP="006717DC">
            <w:pPr>
              <w:rPr>
                <w:sz w:val="16"/>
                <w:szCs w:val="16"/>
              </w:rPr>
            </w:pPr>
            <w:r>
              <w:rPr>
                <w:sz w:val="16"/>
                <w:szCs w:val="16"/>
              </w:rPr>
              <w:t>Batch</w:t>
            </w:r>
          </w:p>
        </w:tc>
      </w:tr>
      <w:tr w:rsidR="00161D1B" w:rsidRPr="00161D1B" w14:paraId="2F474AB0" w14:textId="77777777" w:rsidTr="003B10E2">
        <w:tblPrEx>
          <w:tblCellMar>
            <w:top w:w="0" w:type="dxa"/>
            <w:bottom w:w="0" w:type="dxa"/>
          </w:tblCellMar>
        </w:tblPrEx>
        <w:trPr>
          <w:trHeight w:val="20"/>
        </w:trPr>
        <w:tc>
          <w:tcPr>
            <w:tcW w:w="0" w:type="auto"/>
            <w:vMerge/>
            <w:tcBorders>
              <w:top w:val="single" w:sz="4" w:space="0" w:color="BBCFE0"/>
              <w:left w:val="single" w:sz="4" w:space="0" w:color="BBCFE0"/>
              <w:bottom w:val="single" w:sz="4" w:space="0" w:color="BBCFE0"/>
              <w:right w:val="single" w:sz="4" w:space="0" w:color="BBCFE0"/>
            </w:tcBorders>
          </w:tcPr>
          <w:p w14:paraId="2EEE9388" w14:textId="77777777" w:rsidR="00161D1B" w:rsidRPr="00161D1B" w:rsidRDefault="00161D1B" w:rsidP="006717DC">
            <w:pPr>
              <w:rPr>
                <w:sz w:val="16"/>
                <w:szCs w:val="16"/>
              </w:rPr>
            </w:pPr>
          </w:p>
        </w:tc>
        <w:tc>
          <w:tcPr>
            <w:tcW w:w="4275" w:type="dxa"/>
            <w:tcBorders>
              <w:top w:val="single" w:sz="4" w:space="0" w:color="BBCFE0"/>
              <w:left w:val="single" w:sz="4" w:space="0" w:color="BBCFE0"/>
              <w:bottom w:val="single" w:sz="4" w:space="0" w:color="BBCFE0"/>
              <w:right w:val="single" w:sz="4" w:space="0" w:color="BBCFE0"/>
            </w:tcBorders>
            <w:shd w:val="clear" w:color="auto" w:fill="FFFFFF"/>
            <w:tcMar>
              <w:top w:w="80" w:type="dxa"/>
              <w:left w:w="120" w:type="dxa"/>
              <w:bottom w:w="80" w:type="dxa"/>
              <w:right w:w="120" w:type="dxa"/>
            </w:tcMar>
          </w:tcPr>
          <w:p w14:paraId="119E8B65" w14:textId="77777777" w:rsidR="00161D1B" w:rsidRPr="00161D1B" w:rsidRDefault="00161D1B" w:rsidP="006717DC">
            <w:pPr>
              <w:rPr>
                <w:sz w:val="16"/>
                <w:szCs w:val="16"/>
              </w:rPr>
            </w:pPr>
            <w:r>
              <w:rPr>
                <w:sz w:val="16"/>
                <w:szCs w:val="16"/>
              </w:rPr>
              <w:t>Operator name, address (manufacturer, importer, other)</w:t>
            </w:r>
          </w:p>
        </w:tc>
        <w:tc>
          <w:tcPr>
            <w:tcW w:w="2551" w:type="dxa"/>
            <w:tcBorders>
              <w:top w:val="single" w:sz="4" w:space="0" w:color="BBCFE0"/>
              <w:left w:val="single" w:sz="4" w:space="0" w:color="BBCFE0"/>
              <w:bottom w:val="single" w:sz="4" w:space="0" w:color="BBCFE0"/>
              <w:right w:val="single" w:sz="4" w:space="0" w:color="BBCFE0"/>
            </w:tcBorders>
            <w:shd w:val="clear" w:color="auto" w:fill="FFFFFF"/>
            <w:tcMar>
              <w:top w:w="80" w:type="dxa"/>
              <w:left w:w="120" w:type="dxa"/>
              <w:bottom w:w="80" w:type="dxa"/>
              <w:right w:w="120" w:type="dxa"/>
            </w:tcMar>
          </w:tcPr>
          <w:p w14:paraId="0A566402" w14:textId="77777777" w:rsidR="00161D1B" w:rsidRPr="00161D1B" w:rsidRDefault="00161D1B" w:rsidP="006717DC">
            <w:pPr>
              <w:rPr>
                <w:sz w:val="16"/>
                <w:szCs w:val="16"/>
              </w:rPr>
            </w:pPr>
            <w:r>
              <w:rPr>
                <w:sz w:val="16"/>
                <w:szCs w:val="16"/>
              </w:rPr>
              <w:t>Batch</w:t>
            </w:r>
          </w:p>
        </w:tc>
      </w:tr>
      <w:tr w:rsidR="00161D1B" w:rsidRPr="00161D1B" w14:paraId="2326214A" w14:textId="77777777" w:rsidTr="003B10E2">
        <w:tblPrEx>
          <w:tblCellMar>
            <w:top w:w="0" w:type="dxa"/>
            <w:bottom w:w="0" w:type="dxa"/>
          </w:tblCellMar>
        </w:tblPrEx>
        <w:trPr>
          <w:trHeight w:val="20"/>
        </w:trPr>
        <w:tc>
          <w:tcPr>
            <w:tcW w:w="0" w:type="auto"/>
            <w:vMerge/>
            <w:tcBorders>
              <w:top w:val="single" w:sz="4" w:space="0" w:color="BBCFE0"/>
              <w:left w:val="single" w:sz="4" w:space="0" w:color="BBCFE0"/>
              <w:bottom w:val="single" w:sz="4" w:space="0" w:color="BBCFE0"/>
              <w:right w:val="single" w:sz="4" w:space="0" w:color="BBCFE0"/>
            </w:tcBorders>
          </w:tcPr>
          <w:p w14:paraId="5D0910FC" w14:textId="77777777" w:rsidR="00161D1B" w:rsidRPr="00161D1B" w:rsidRDefault="00161D1B" w:rsidP="006717DC">
            <w:pPr>
              <w:rPr>
                <w:sz w:val="16"/>
                <w:szCs w:val="16"/>
              </w:rPr>
            </w:pPr>
          </w:p>
        </w:tc>
        <w:tc>
          <w:tcPr>
            <w:tcW w:w="4275" w:type="dxa"/>
            <w:tcBorders>
              <w:top w:val="single" w:sz="4" w:space="0" w:color="BBCFE0"/>
              <w:left w:val="single" w:sz="4" w:space="0" w:color="BBCFE0"/>
              <w:bottom w:val="single" w:sz="4" w:space="0" w:color="BBCFE0"/>
              <w:right w:val="single" w:sz="4" w:space="0" w:color="BBCFE0"/>
            </w:tcBorders>
            <w:shd w:val="clear" w:color="auto" w:fill="EAF1F8"/>
            <w:tcMar>
              <w:top w:w="80" w:type="dxa"/>
              <w:left w:w="120" w:type="dxa"/>
              <w:bottom w:w="80" w:type="dxa"/>
              <w:right w:w="120" w:type="dxa"/>
            </w:tcMar>
          </w:tcPr>
          <w:p w14:paraId="3FDD8597" w14:textId="77777777" w:rsidR="00161D1B" w:rsidRPr="00161D1B" w:rsidRDefault="00161D1B" w:rsidP="006717DC">
            <w:pPr>
              <w:rPr>
                <w:sz w:val="16"/>
                <w:szCs w:val="16"/>
              </w:rPr>
            </w:pPr>
            <w:r>
              <w:rPr>
                <w:sz w:val="16"/>
                <w:szCs w:val="16"/>
              </w:rPr>
              <w:t>Operator contact (manufacturer, importer and other)</w:t>
            </w:r>
          </w:p>
        </w:tc>
        <w:tc>
          <w:tcPr>
            <w:tcW w:w="2551" w:type="dxa"/>
            <w:tcBorders>
              <w:top w:val="single" w:sz="4" w:space="0" w:color="BBCFE0"/>
              <w:left w:val="single" w:sz="4" w:space="0" w:color="BBCFE0"/>
              <w:bottom w:val="single" w:sz="4" w:space="0" w:color="BBCFE0"/>
              <w:right w:val="single" w:sz="4" w:space="0" w:color="BBCFE0"/>
            </w:tcBorders>
            <w:shd w:val="clear" w:color="auto" w:fill="EAF1F8"/>
            <w:tcMar>
              <w:top w:w="80" w:type="dxa"/>
              <w:left w:w="120" w:type="dxa"/>
              <w:bottom w:w="80" w:type="dxa"/>
              <w:right w:w="120" w:type="dxa"/>
            </w:tcMar>
          </w:tcPr>
          <w:p w14:paraId="305AB6DE" w14:textId="77777777" w:rsidR="00161D1B" w:rsidRPr="00161D1B" w:rsidRDefault="00161D1B" w:rsidP="006717DC">
            <w:pPr>
              <w:rPr>
                <w:sz w:val="16"/>
                <w:szCs w:val="16"/>
              </w:rPr>
            </w:pPr>
            <w:r>
              <w:rPr>
                <w:sz w:val="16"/>
                <w:szCs w:val="16"/>
              </w:rPr>
              <w:t>Batch</w:t>
            </w:r>
          </w:p>
        </w:tc>
      </w:tr>
      <w:tr w:rsidR="00161D1B" w:rsidRPr="00161D1B" w14:paraId="54F098CD" w14:textId="77777777" w:rsidTr="003B10E2">
        <w:tblPrEx>
          <w:tblCellMar>
            <w:top w:w="0" w:type="dxa"/>
            <w:bottom w:w="0" w:type="dxa"/>
          </w:tblCellMar>
        </w:tblPrEx>
        <w:trPr>
          <w:trHeight w:val="20"/>
        </w:trPr>
        <w:tc>
          <w:tcPr>
            <w:tcW w:w="0" w:type="auto"/>
            <w:vMerge/>
            <w:tcBorders>
              <w:top w:val="single" w:sz="4" w:space="0" w:color="BBCFE0"/>
              <w:left w:val="single" w:sz="4" w:space="0" w:color="BBCFE0"/>
              <w:bottom w:val="single" w:sz="4" w:space="0" w:color="BBCFE0"/>
              <w:right w:val="single" w:sz="4" w:space="0" w:color="BBCFE0"/>
            </w:tcBorders>
          </w:tcPr>
          <w:p w14:paraId="08D7E808" w14:textId="77777777" w:rsidR="00161D1B" w:rsidRPr="00161D1B" w:rsidRDefault="00161D1B" w:rsidP="006717DC">
            <w:pPr>
              <w:rPr>
                <w:sz w:val="16"/>
                <w:szCs w:val="16"/>
              </w:rPr>
            </w:pPr>
          </w:p>
        </w:tc>
        <w:tc>
          <w:tcPr>
            <w:tcW w:w="4275" w:type="dxa"/>
            <w:tcBorders>
              <w:top w:val="single" w:sz="4" w:space="0" w:color="BBCFE0"/>
              <w:left w:val="single" w:sz="4" w:space="0" w:color="BBCFE0"/>
              <w:bottom w:val="single" w:sz="4" w:space="0" w:color="BBCFE0"/>
              <w:right w:val="single" w:sz="4" w:space="0" w:color="BBCFE0"/>
            </w:tcBorders>
            <w:shd w:val="clear" w:color="auto" w:fill="FFFFFF"/>
            <w:tcMar>
              <w:top w:w="80" w:type="dxa"/>
              <w:left w:w="120" w:type="dxa"/>
              <w:bottom w:w="80" w:type="dxa"/>
              <w:right w:w="120" w:type="dxa"/>
            </w:tcMar>
          </w:tcPr>
          <w:p w14:paraId="5DED2DB5" w14:textId="77777777" w:rsidR="00161D1B" w:rsidRPr="00161D1B" w:rsidRDefault="00161D1B" w:rsidP="006717DC">
            <w:pPr>
              <w:rPr>
                <w:sz w:val="16"/>
                <w:szCs w:val="16"/>
              </w:rPr>
            </w:pPr>
            <w:r>
              <w:rPr>
                <w:sz w:val="16"/>
                <w:szCs w:val="16"/>
              </w:rPr>
              <w:t>Unique facility identifier</w:t>
            </w:r>
          </w:p>
        </w:tc>
        <w:tc>
          <w:tcPr>
            <w:tcW w:w="2551" w:type="dxa"/>
            <w:tcBorders>
              <w:top w:val="single" w:sz="4" w:space="0" w:color="BBCFE0"/>
              <w:left w:val="single" w:sz="4" w:space="0" w:color="BBCFE0"/>
              <w:bottom w:val="single" w:sz="4" w:space="0" w:color="BBCFE0"/>
              <w:right w:val="single" w:sz="4" w:space="0" w:color="BBCFE0"/>
            </w:tcBorders>
            <w:shd w:val="clear" w:color="auto" w:fill="FFFFFF"/>
            <w:tcMar>
              <w:top w:w="80" w:type="dxa"/>
              <w:left w:w="120" w:type="dxa"/>
              <w:bottom w:w="80" w:type="dxa"/>
              <w:right w:w="120" w:type="dxa"/>
            </w:tcMar>
          </w:tcPr>
          <w:p w14:paraId="6EFF586F" w14:textId="77777777" w:rsidR="00161D1B" w:rsidRPr="00161D1B" w:rsidRDefault="00161D1B" w:rsidP="006717DC">
            <w:pPr>
              <w:rPr>
                <w:sz w:val="16"/>
                <w:szCs w:val="16"/>
              </w:rPr>
            </w:pPr>
            <w:r>
              <w:rPr>
                <w:sz w:val="16"/>
                <w:szCs w:val="16"/>
              </w:rPr>
              <w:t>Batch</w:t>
            </w:r>
          </w:p>
        </w:tc>
      </w:tr>
      <w:tr w:rsidR="00161D1B" w:rsidRPr="00161D1B" w14:paraId="6ADB6E6C" w14:textId="77777777" w:rsidTr="003B10E2">
        <w:tblPrEx>
          <w:tblCellMar>
            <w:top w:w="0" w:type="dxa"/>
            <w:bottom w:w="0" w:type="dxa"/>
          </w:tblCellMar>
        </w:tblPrEx>
        <w:trPr>
          <w:trHeight w:val="20"/>
        </w:trPr>
        <w:tc>
          <w:tcPr>
            <w:tcW w:w="2200" w:type="dxa"/>
            <w:vMerge w:val="restart"/>
            <w:tcBorders>
              <w:top w:val="single" w:sz="4" w:space="0" w:color="BBCFE0"/>
              <w:left w:val="single" w:sz="4" w:space="0" w:color="BBCFE0"/>
              <w:bottom w:val="single" w:sz="4" w:space="0" w:color="BBCFE0"/>
              <w:right w:val="single" w:sz="4" w:space="0" w:color="BBCFE0"/>
            </w:tcBorders>
            <w:shd w:val="clear" w:color="auto" w:fill="D2E3F0"/>
            <w:tcMar>
              <w:top w:w="80" w:type="dxa"/>
              <w:left w:w="120" w:type="dxa"/>
              <w:bottom w:w="80" w:type="dxa"/>
              <w:right w:w="120" w:type="dxa"/>
            </w:tcMar>
            <w:vAlign w:val="center"/>
          </w:tcPr>
          <w:p w14:paraId="2D22E1B1" w14:textId="77777777" w:rsidR="00161D1B" w:rsidRPr="00161D1B" w:rsidRDefault="00161D1B" w:rsidP="006717DC">
            <w:pPr>
              <w:rPr>
                <w:sz w:val="16"/>
                <w:szCs w:val="16"/>
              </w:rPr>
            </w:pPr>
            <w:r>
              <w:rPr>
                <w:b/>
                <w:bCs/>
                <w:color w:val="1F4E79"/>
                <w:sz w:val="16"/>
                <w:szCs w:val="16"/>
              </w:rPr>
              <w:t>Product Information — Material</w:t>
            </w:r>
          </w:p>
        </w:tc>
        <w:tc>
          <w:tcPr>
            <w:tcW w:w="4275" w:type="dxa"/>
            <w:tcBorders>
              <w:top w:val="single" w:sz="4" w:space="0" w:color="BBCFE0"/>
              <w:left w:val="single" w:sz="4" w:space="0" w:color="BBCFE0"/>
              <w:bottom w:val="single" w:sz="4" w:space="0" w:color="BBCFE0"/>
              <w:right w:val="single" w:sz="4" w:space="0" w:color="BBCFE0"/>
            </w:tcBorders>
            <w:shd w:val="clear" w:color="auto" w:fill="EAF1F8"/>
            <w:tcMar>
              <w:top w:w="80" w:type="dxa"/>
              <w:left w:w="120" w:type="dxa"/>
              <w:bottom w:w="80" w:type="dxa"/>
              <w:right w:w="120" w:type="dxa"/>
            </w:tcMar>
          </w:tcPr>
          <w:p w14:paraId="2E390863" w14:textId="77777777" w:rsidR="00161D1B" w:rsidRPr="00161D1B" w:rsidRDefault="00161D1B" w:rsidP="006717DC">
            <w:pPr>
              <w:rPr>
                <w:sz w:val="16"/>
                <w:szCs w:val="16"/>
              </w:rPr>
            </w:pPr>
            <w:r>
              <w:rPr>
                <w:sz w:val="16"/>
                <w:szCs w:val="16"/>
              </w:rPr>
              <w:t>Fibre composition</w:t>
            </w:r>
          </w:p>
        </w:tc>
        <w:tc>
          <w:tcPr>
            <w:tcW w:w="2551" w:type="dxa"/>
            <w:tcBorders>
              <w:top w:val="single" w:sz="4" w:space="0" w:color="BBCFE0"/>
              <w:left w:val="single" w:sz="4" w:space="0" w:color="BBCFE0"/>
              <w:bottom w:val="single" w:sz="4" w:space="0" w:color="BBCFE0"/>
              <w:right w:val="single" w:sz="4" w:space="0" w:color="BBCFE0"/>
            </w:tcBorders>
            <w:shd w:val="clear" w:color="auto" w:fill="EAF1F8"/>
            <w:tcMar>
              <w:top w:w="80" w:type="dxa"/>
              <w:left w:w="120" w:type="dxa"/>
              <w:bottom w:w="80" w:type="dxa"/>
              <w:right w:w="120" w:type="dxa"/>
            </w:tcMar>
          </w:tcPr>
          <w:p w14:paraId="5D038392" w14:textId="77777777" w:rsidR="00161D1B" w:rsidRPr="00161D1B" w:rsidRDefault="00161D1B" w:rsidP="006717DC">
            <w:pPr>
              <w:rPr>
                <w:sz w:val="16"/>
                <w:szCs w:val="16"/>
              </w:rPr>
            </w:pPr>
            <w:r>
              <w:rPr>
                <w:sz w:val="16"/>
                <w:szCs w:val="16"/>
              </w:rPr>
              <w:t>Model</w:t>
            </w:r>
          </w:p>
        </w:tc>
      </w:tr>
      <w:tr w:rsidR="00161D1B" w:rsidRPr="00161D1B" w14:paraId="2B9D7FBD" w14:textId="77777777" w:rsidTr="003B10E2">
        <w:tblPrEx>
          <w:tblCellMar>
            <w:top w:w="0" w:type="dxa"/>
            <w:bottom w:w="0" w:type="dxa"/>
          </w:tblCellMar>
        </w:tblPrEx>
        <w:trPr>
          <w:trHeight w:val="20"/>
        </w:trPr>
        <w:tc>
          <w:tcPr>
            <w:tcW w:w="0" w:type="auto"/>
            <w:vMerge/>
            <w:tcBorders>
              <w:top w:val="single" w:sz="4" w:space="0" w:color="BBCFE0"/>
              <w:left w:val="single" w:sz="4" w:space="0" w:color="BBCFE0"/>
              <w:bottom w:val="single" w:sz="4" w:space="0" w:color="BBCFE0"/>
              <w:right w:val="single" w:sz="4" w:space="0" w:color="BBCFE0"/>
            </w:tcBorders>
          </w:tcPr>
          <w:p w14:paraId="7F282522" w14:textId="77777777" w:rsidR="00161D1B" w:rsidRPr="00161D1B" w:rsidRDefault="00161D1B" w:rsidP="006717DC">
            <w:pPr>
              <w:rPr>
                <w:sz w:val="16"/>
                <w:szCs w:val="16"/>
              </w:rPr>
            </w:pPr>
          </w:p>
        </w:tc>
        <w:tc>
          <w:tcPr>
            <w:tcW w:w="4275" w:type="dxa"/>
            <w:tcBorders>
              <w:top w:val="single" w:sz="4" w:space="0" w:color="BBCFE0"/>
              <w:left w:val="single" w:sz="4" w:space="0" w:color="BBCFE0"/>
              <w:bottom w:val="single" w:sz="4" w:space="0" w:color="BBCFE0"/>
              <w:right w:val="single" w:sz="4" w:space="0" w:color="BBCFE0"/>
            </w:tcBorders>
            <w:shd w:val="clear" w:color="auto" w:fill="FFFFFF"/>
            <w:tcMar>
              <w:top w:w="80" w:type="dxa"/>
              <w:left w:w="120" w:type="dxa"/>
              <w:bottom w:w="80" w:type="dxa"/>
              <w:right w:w="120" w:type="dxa"/>
            </w:tcMar>
          </w:tcPr>
          <w:p w14:paraId="42258BF4" w14:textId="77777777" w:rsidR="00161D1B" w:rsidRPr="00161D1B" w:rsidRDefault="00161D1B" w:rsidP="006717DC">
            <w:pPr>
              <w:rPr>
                <w:sz w:val="16"/>
                <w:szCs w:val="16"/>
              </w:rPr>
            </w:pPr>
            <w:r>
              <w:rPr>
                <w:sz w:val="16"/>
                <w:szCs w:val="16"/>
              </w:rPr>
              <w:t>Components specification</w:t>
            </w:r>
          </w:p>
        </w:tc>
        <w:tc>
          <w:tcPr>
            <w:tcW w:w="2551" w:type="dxa"/>
            <w:tcBorders>
              <w:top w:val="single" w:sz="4" w:space="0" w:color="BBCFE0"/>
              <w:left w:val="single" w:sz="4" w:space="0" w:color="BBCFE0"/>
              <w:bottom w:val="single" w:sz="4" w:space="0" w:color="BBCFE0"/>
              <w:right w:val="single" w:sz="4" w:space="0" w:color="BBCFE0"/>
            </w:tcBorders>
            <w:shd w:val="clear" w:color="auto" w:fill="FFFFFF"/>
            <w:tcMar>
              <w:top w:w="80" w:type="dxa"/>
              <w:left w:w="120" w:type="dxa"/>
              <w:bottom w:w="80" w:type="dxa"/>
              <w:right w:w="120" w:type="dxa"/>
            </w:tcMar>
          </w:tcPr>
          <w:p w14:paraId="3576DA32" w14:textId="77777777" w:rsidR="00161D1B" w:rsidRPr="00161D1B" w:rsidRDefault="00161D1B" w:rsidP="006717DC">
            <w:pPr>
              <w:rPr>
                <w:sz w:val="16"/>
                <w:szCs w:val="16"/>
              </w:rPr>
            </w:pPr>
            <w:r>
              <w:rPr>
                <w:sz w:val="16"/>
                <w:szCs w:val="16"/>
              </w:rPr>
              <w:t>Model</w:t>
            </w:r>
          </w:p>
        </w:tc>
      </w:tr>
      <w:tr w:rsidR="00161D1B" w:rsidRPr="00161D1B" w14:paraId="6B051EF6" w14:textId="77777777" w:rsidTr="003B10E2">
        <w:tblPrEx>
          <w:tblCellMar>
            <w:top w:w="0" w:type="dxa"/>
            <w:bottom w:w="0" w:type="dxa"/>
          </w:tblCellMar>
        </w:tblPrEx>
        <w:trPr>
          <w:trHeight w:val="20"/>
        </w:trPr>
        <w:tc>
          <w:tcPr>
            <w:tcW w:w="2200" w:type="dxa"/>
            <w:vMerge w:val="restart"/>
            <w:tcBorders>
              <w:top w:val="single" w:sz="4" w:space="0" w:color="BBCFE0"/>
              <w:left w:val="single" w:sz="4" w:space="0" w:color="BBCFE0"/>
              <w:bottom w:val="single" w:sz="4" w:space="0" w:color="BBCFE0"/>
              <w:right w:val="single" w:sz="4" w:space="0" w:color="BBCFE0"/>
            </w:tcBorders>
            <w:shd w:val="clear" w:color="auto" w:fill="D2E3F0"/>
            <w:tcMar>
              <w:top w:w="80" w:type="dxa"/>
              <w:left w:w="120" w:type="dxa"/>
              <w:bottom w:w="80" w:type="dxa"/>
              <w:right w:w="120" w:type="dxa"/>
            </w:tcMar>
            <w:vAlign w:val="center"/>
          </w:tcPr>
          <w:p w14:paraId="543A4BC0" w14:textId="77777777" w:rsidR="00161D1B" w:rsidRPr="00161D1B" w:rsidRDefault="00161D1B" w:rsidP="006717DC">
            <w:pPr>
              <w:rPr>
                <w:sz w:val="16"/>
                <w:szCs w:val="16"/>
              </w:rPr>
            </w:pPr>
            <w:r>
              <w:rPr>
                <w:b/>
                <w:bCs/>
                <w:color w:val="1F4E79"/>
                <w:sz w:val="16"/>
                <w:szCs w:val="16"/>
              </w:rPr>
              <w:t>Product Information — Mechanical properties</w:t>
            </w:r>
          </w:p>
        </w:tc>
        <w:tc>
          <w:tcPr>
            <w:tcW w:w="4275" w:type="dxa"/>
            <w:tcBorders>
              <w:top w:val="single" w:sz="4" w:space="0" w:color="BBCFE0"/>
              <w:left w:val="single" w:sz="4" w:space="0" w:color="BBCFE0"/>
              <w:bottom w:val="single" w:sz="4" w:space="0" w:color="BBCFE0"/>
              <w:right w:val="single" w:sz="4" w:space="0" w:color="BBCFE0"/>
            </w:tcBorders>
            <w:shd w:val="clear" w:color="auto" w:fill="EAF1F8"/>
            <w:tcMar>
              <w:top w:w="80" w:type="dxa"/>
              <w:left w:w="120" w:type="dxa"/>
              <w:bottom w:w="80" w:type="dxa"/>
              <w:right w:w="120" w:type="dxa"/>
            </w:tcMar>
          </w:tcPr>
          <w:p w14:paraId="5B78F9A3" w14:textId="77777777" w:rsidR="00161D1B" w:rsidRPr="00161D1B" w:rsidRDefault="00161D1B" w:rsidP="006717DC">
            <w:pPr>
              <w:rPr>
                <w:sz w:val="16"/>
                <w:szCs w:val="16"/>
              </w:rPr>
            </w:pPr>
            <w:r>
              <w:rPr>
                <w:sz w:val="16"/>
                <w:szCs w:val="16"/>
              </w:rPr>
              <w:t>Robustness score</w:t>
            </w:r>
          </w:p>
        </w:tc>
        <w:tc>
          <w:tcPr>
            <w:tcW w:w="2551" w:type="dxa"/>
            <w:tcBorders>
              <w:top w:val="single" w:sz="4" w:space="0" w:color="BBCFE0"/>
              <w:left w:val="single" w:sz="4" w:space="0" w:color="BBCFE0"/>
              <w:bottom w:val="single" w:sz="4" w:space="0" w:color="BBCFE0"/>
              <w:right w:val="single" w:sz="4" w:space="0" w:color="BBCFE0"/>
            </w:tcBorders>
            <w:shd w:val="clear" w:color="auto" w:fill="EAF1F8"/>
            <w:tcMar>
              <w:top w:w="80" w:type="dxa"/>
              <w:left w:w="120" w:type="dxa"/>
              <w:bottom w:w="80" w:type="dxa"/>
              <w:right w:w="120" w:type="dxa"/>
            </w:tcMar>
          </w:tcPr>
          <w:p w14:paraId="4B0DC9D7" w14:textId="77777777" w:rsidR="00161D1B" w:rsidRPr="00161D1B" w:rsidRDefault="00161D1B" w:rsidP="006717DC">
            <w:pPr>
              <w:rPr>
                <w:sz w:val="16"/>
                <w:szCs w:val="16"/>
              </w:rPr>
            </w:pPr>
            <w:r>
              <w:rPr>
                <w:sz w:val="16"/>
                <w:szCs w:val="16"/>
              </w:rPr>
              <w:t>Model</w:t>
            </w:r>
          </w:p>
        </w:tc>
      </w:tr>
      <w:tr w:rsidR="00161D1B" w:rsidRPr="00161D1B" w14:paraId="4677D6A4" w14:textId="77777777" w:rsidTr="003B10E2">
        <w:tblPrEx>
          <w:tblCellMar>
            <w:top w:w="0" w:type="dxa"/>
            <w:bottom w:w="0" w:type="dxa"/>
          </w:tblCellMar>
        </w:tblPrEx>
        <w:trPr>
          <w:trHeight w:val="20"/>
        </w:trPr>
        <w:tc>
          <w:tcPr>
            <w:tcW w:w="0" w:type="auto"/>
            <w:vMerge/>
            <w:tcBorders>
              <w:top w:val="single" w:sz="4" w:space="0" w:color="BBCFE0"/>
              <w:left w:val="single" w:sz="4" w:space="0" w:color="BBCFE0"/>
              <w:bottom w:val="single" w:sz="4" w:space="0" w:color="BBCFE0"/>
              <w:right w:val="single" w:sz="4" w:space="0" w:color="BBCFE0"/>
            </w:tcBorders>
          </w:tcPr>
          <w:p w14:paraId="3E81A5C0" w14:textId="77777777" w:rsidR="00161D1B" w:rsidRPr="00161D1B" w:rsidRDefault="00161D1B" w:rsidP="006717DC">
            <w:pPr>
              <w:rPr>
                <w:sz w:val="16"/>
                <w:szCs w:val="16"/>
              </w:rPr>
            </w:pPr>
          </w:p>
        </w:tc>
        <w:tc>
          <w:tcPr>
            <w:tcW w:w="4275" w:type="dxa"/>
            <w:tcBorders>
              <w:top w:val="single" w:sz="4" w:space="0" w:color="BBCFE0"/>
              <w:left w:val="single" w:sz="4" w:space="0" w:color="BBCFE0"/>
              <w:bottom w:val="single" w:sz="4" w:space="0" w:color="BBCFE0"/>
              <w:right w:val="single" w:sz="4" w:space="0" w:color="BBCFE0"/>
            </w:tcBorders>
            <w:shd w:val="clear" w:color="auto" w:fill="FFFFFF"/>
            <w:tcMar>
              <w:top w:w="80" w:type="dxa"/>
              <w:left w:w="120" w:type="dxa"/>
              <w:bottom w:w="80" w:type="dxa"/>
              <w:right w:w="120" w:type="dxa"/>
            </w:tcMar>
          </w:tcPr>
          <w:p w14:paraId="0EC07D43" w14:textId="77777777" w:rsidR="00161D1B" w:rsidRPr="00161D1B" w:rsidRDefault="00161D1B" w:rsidP="006717DC">
            <w:pPr>
              <w:rPr>
                <w:sz w:val="16"/>
                <w:szCs w:val="16"/>
              </w:rPr>
            </w:pPr>
            <w:r>
              <w:rPr>
                <w:sz w:val="16"/>
                <w:szCs w:val="16"/>
              </w:rPr>
              <w:t>Visual inspection</w:t>
            </w:r>
          </w:p>
        </w:tc>
        <w:tc>
          <w:tcPr>
            <w:tcW w:w="2551" w:type="dxa"/>
            <w:tcBorders>
              <w:top w:val="single" w:sz="4" w:space="0" w:color="BBCFE0"/>
              <w:left w:val="single" w:sz="4" w:space="0" w:color="BBCFE0"/>
              <w:bottom w:val="single" w:sz="4" w:space="0" w:color="BBCFE0"/>
              <w:right w:val="single" w:sz="4" w:space="0" w:color="BBCFE0"/>
            </w:tcBorders>
            <w:shd w:val="clear" w:color="auto" w:fill="FFFFFF"/>
            <w:tcMar>
              <w:top w:w="80" w:type="dxa"/>
              <w:left w:w="120" w:type="dxa"/>
              <w:bottom w:w="80" w:type="dxa"/>
              <w:right w:w="120" w:type="dxa"/>
            </w:tcMar>
          </w:tcPr>
          <w:p w14:paraId="099223E6" w14:textId="77777777" w:rsidR="00161D1B" w:rsidRPr="00161D1B" w:rsidRDefault="00161D1B" w:rsidP="006717DC">
            <w:pPr>
              <w:rPr>
                <w:sz w:val="16"/>
                <w:szCs w:val="16"/>
              </w:rPr>
            </w:pPr>
            <w:r>
              <w:rPr>
                <w:i/>
                <w:iCs/>
                <w:sz w:val="16"/>
                <w:szCs w:val="16"/>
              </w:rPr>
              <w:t>Batch (self-declaration) / Model (third-party certified)</w:t>
            </w:r>
          </w:p>
        </w:tc>
      </w:tr>
      <w:tr w:rsidR="00161D1B" w:rsidRPr="00161D1B" w14:paraId="79A80F16" w14:textId="77777777" w:rsidTr="003B10E2">
        <w:tblPrEx>
          <w:tblCellMar>
            <w:top w:w="0" w:type="dxa"/>
            <w:bottom w:w="0" w:type="dxa"/>
          </w:tblCellMar>
        </w:tblPrEx>
        <w:trPr>
          <w:trHeight w:val="20"/>
        </w:trPr>
        <w:tc>
          <w:tcPr>
            <w:tcW w:w="0" w:type="auto"/>
            <w:vMerge/>
            <w:tcBorders>
              <w:top w:val="single" w:sz="4" w:space="0" w:color="BBCFE0"/>
              <w:left w:val="single" w:sz="4" w:space="0" w:color="BBCFE0"/>
              <w:bottom w:val="single" w:sz="4" w:space="0" w:color="BBCFE0"/>
              <w:right w:val="single" w:sz="4" w:space="0" w:color="BBCFE0"/>
            </w:tcBorders>
          </w:tcPr>
          <w:p w14:paraId="7E72323B" w14:textId="77777777" w:rsidR="00161D1B" w:rsidRPr="00161D1B" w:rsidRDefault="00161D1B" w:rsidP="006717DC">
            <w:pPr>
              <w:rPr>
                <w:sz w:val="16"/>
                <w:szCs w:val="16"/>
              </w:rPr>
            </w:pPr>
          </w:p>
        </w:tc>
        <w:tc>
          <w:tcPr>
            <w:tcW w:w="4275" w:type="dxa"/>
            <w:tcBorders>
              <w:top w:val="single" w:sz="4" w:space="0" w:color="BBCFE0"/>
              <w:left w:val="single" w:sz="4" w:space="0" w:color="BBCFE0"/>
              <w:bottom w:val="single" w:sz="4" w:space="0" w:color="BBCFE0"/>
              <w:right w:val="single" w:sz="4" w:space="0" w:color="BBCFE0"/>
            </w:tcBorders>
            <w:shd w:val="clear" w:color="auto" w:fill="EAF1F8"/>
            <w:tcMar>
              <w:top w:w="80" w:type="dxa"/>
              <w:left w:w="120" w:type="dxa"/>
              <w:bottom w:w="80" w:type="dxa"/>
              <w:right w:w="120" w:type="dxa"/>
            </w:tcMar>
          </w:tcPr>
          <w:p w14:paraId="7DFE0DC5" w14:textId="77777777" w:rsidR="00161D1B" w:rsidRPr="00161D1B" w:rsidRDefault="00161D1B" w:rsidP="006717DC">
            <w:pPr>
              <w:rPr>
                <w:sz w:val="16"/>
                <w:szCs w:val="16"/>
              </w:rPr>
            </w:pPr>
            <w:r>
              <w:rPr>
                <w:sz w:val="16"/>
                <w:szCs w:val="16"/>
              </w:rPr>
              <w:t>Spirality</w:t>
            </w:r>
          </w:p>
        </w:tc>
        <w:tc>
          <w:tcPr>
            <w:tcW w:w="2551" w:type="dxa"/>
            <w:tcBorders>
              <w:top w:val="single" w:sz="4" w:space="0" w:color="BBCFE0"/>
              <w:left w:val="single" w:sz="4" w:space="0" w:color="BBCFE0"/>
              <w:bottom w:val="single" w:sz="4" w:space="0" w:color="BBCFE0"/>
              <w:right w:val="single" w:sz="4" w:space="0" w:color="BBCFE0"/>
            </w:tcBorders>
            <w:shd w:val="clear" w:color="auto" w:fill="EAF1F8"/>
            <w:tcMar>
              <w:top w:w="80" w:type="dxa"/>
              <w:left w:w="120" w:type="dxa"/>
              <w:bottom w:w="80" w:type="dxa"/>
              <w:right w:w="120" w:type="dxa"/>
            </w:tcMar>
          </w:tcPr>
          <w:p w14:paraId="16634704" w14:textId="77777777" w:rsidR="00161D1B" w:rsidRPr="00161D1B" w:rsidRDefault="00161D1B" w:rsidP="006717DC">
            <w:pPr>
              <w:rPr>
                <w:sz w:val="16"/>
                <w:szCs w:val="16"/>
              </w:rPr>
            </w:pPr>
            <w:r>
              <w:rPr>
                <w:i/>
                <w:iCs/>
                <w:sz w:val="16"/>
                <w:szCs w:val="16"/>
              </w:rPr>
              <w:t>Batch (self-declaration) / Model (third-party certified)</w:t>
            </w:r>
          </w:p>
        </w:tc>
      </w:tr>
      <w:tr w:rsidR="00161D1B" w:rsidRPr="00161D1B" w14:paraId="4ACD5476" w14:textId="77777777" w:rsidTr="003B10E2">
        <w:tblPrEx>
          <w:tblCellMar>
            <w:top w:w="0" w:type="dxa"/>
            <w:bottom w:w="0" w:type="dxa"/>
          </w:tblCellMar>
        </w:tblPrEx>
        <w:trPr>
          <w:trHeight w:val="20"/>
        </w:trPr>
        <w:tc>
          <w:tcPr>
            <w:tcW w:w="0" w:type="auto"/>
            <w:vMerge/>
            <w:tcBorders>
              <w:top w:val="single" w:sz="4" w:space="0" w:color="BBCFE0"/>
              <w:left w:val="single" w:sz="4" w:space="0" w:color="BBCFE0"/>
              <w:bottom w:val="single" w:sz="4" w:space="0" w:color="BBCFE0"/>
              <w:right w:val="single" w:sz="4" w:space="0" w:color="BBCFE0"/>
            </w:tcBorders>
          </w:tcPr>
          <w:p w14:paraId="3F57A665" w14:textId="77777777" w:rsidR="00161D1B" w:rsidRPr="00161D1B" w:rsidRDefault="00161D1B" w:rsidP="006717DC">
            <w:pPr>
              <w:rPr>
                <w:sz w:val="16"/>
                <w:szCs w:val="16"/>
              </w:rPr>
            </w:pPr>
          </w:p>
        </w:tc>
        <w:tc>
          <w:tcPr>
            <w:tcW w:w="4275" w:type="dxa"/>
            <w:tcBorders>
              <w:top w:val="single" w:sz="4" w:space="0" w:color="BBCFE0"/>
              <w:left w:val="single" w:sz="4" w:space="0" w:color="BBCFE0"/>
              <w:bottom w:val="single" w:sz="4" w:space="0" w:color="BBCFE0"/>
              <w:right w:val="single" w:sz="4" w:space="0" w:color="BBCFE0"/>
            </w:tcBorders>
            <w:shd w:val="clear" w:color="auto" w:fill="FFFFFF"/>
            <w:tcMar>
              <w:top w:w="80" w:type="dxa"/>
              <w:left w:w="120" w:type="dxa"/>
              <w:bottom w:w="80" w:type="dxa"/>
              <w:right w:w="120" w:type="dxa"/>
            </w:tcMar>
          </w:tcPr>
          <w:p w14:paraId="20973DA5" w14:textId="77777777" w:rsidR="00161D1B" w:rsidRPr="00161D1B" w:rsidRDefault="00161D1B" w:rsidP="006717DC">
            <w:pPr>
              <w:rPr>
                <w:sz w:val="16"/>
                <w:szCs w:val="16"/>
              </w:rPr>
            </w:pPr>
            <w:r>
              <w:rPr>
                <w:sz w:val="16"/>
                <w:szCs w:val="16"/>
              </w:rPr>
              <w:t>Dimensional change</w:t>
            </w:r>
          </w:p>
        </w:tc>
        <w:tc>
          <w:tcPr>
            <w:tcW w:w="2551" w:type="dxa"/>
            <w:tcBorders>
              <w:top w:val="single" w:sz="4" w:space="0" w:color="BBCFE0"/>
              <w:left w:val="single" w:sz="4" w:space="0" w:color="BBCFE0"/>
              <w:bottom w:val="single" w:sz="4" w:space="0" w:color="BBCFE0"/>
              <w:right w:val="single" w:sz="4" w:space="0" w:color="BBCFE0"/>
            </w:tcBorders>
            <w:shd w:val="clear" w:color="auto" w:fill="FFFFFF"/>
            <w:tcMar>
              <w:top w:w="80" w:type="dxa"/>
              <w:left w:w="120" w:type="dxa"/>
              <w:bottom w:w="80" w:type="dxa"/>
              <w:right w:w="120" w:type="dxa"/>
            </w:tcMar>
          </w:tcPr>
          <w:p w14:paraId="6524AB52" w14:textId="77777777" w:rsidR="00161D1B" w:rsidRPr="00161D1B" w:rsidRDefault="00161D1B" w:rsidP="006717DC">
            <w:pPr>
              <w:rPr>
                <w:sz w:val="16"/>
                <w:szCs w:val="16"/>
              </w:rPr>
            </w:pPr>
            <w:r>
              <w:rPr>
                <w:i/>
                <w:iCs/>
                <w:sz w:val="16"/>
                <w:szCs w:val="16"/>
              </w:rPr>
              <w:t>Batch (self-declaration) / Model (third-party certified)</w:t>
            </w:r>
          </w:p>
        </w:tc>
      </w:tr>
      <w:tr w:rsidR="00161D1B" w:rsidRPr="00161D1B" w14:paraId="4ACD5476" w14:textId="77777777" w:rsidTr="003B10E2">
        <w:tblPrEx>
          <w:tblCellMar>
            <w:top w:w="0" w:type="dxa"/>
            <w:bottom w:w="0" w:type="dxa"/>
          </w:tblCellMar>
        </w:tblPrEx>
        <w:trPr>
          <w:trHeight w:val="20"/>
        </w:trPr>
        <w:tc>
          <w:tcPr>
            <w:tcW w:w="0" w:type="auto"/>
            <w:vMerge/>
            <w:tcBorders>
              <w:top w:val="single" w:sz="4" w:space="0" w:color="BBCFE0"/>
              <w:left w:val="single" w:sz="4" w:space="0" w:color="BBCFE0"/>
              <w:bottom w:val="single" w:sz="4" w:space="0" w:color="BBCFE0"/>
              <w:right w:val="single" w:sz="4" w:space="0" w:color="BBCFE0"/>
            </w:tcBorders>
          </w:tcPr>
          <w:p w14:paraId="3F57A665" w14:textId="77777777" w:rsidR="00161D1B" w:rsidRPr="00161D1B" w:rsidRDefault="00161D1B" w:rsidP="006717DC">
            <w:pPr>
              <w:rPr>
                <w:sz w:val="16"/>
                <w:szCs w:val="16"/>
              </w:rPr>
            </w:pPr>
          </w:p>
        </w:tc>
        <w:tc>
          <w:tcPr>
            <w:tcW w:w="4275" w:type="dxa"/>
            <w:tcBorders>
              <w:top w:val="single" w:sz="4" w:space="0" w:color="BBCFE0"/>
              <w:left w:val="single" w:sz="4" w:space="0" w:color="BBCFE0"/>
              <w:bottom w:val="single" w:sz="4" w:space="0" w:color="BBCFE0"/>
              <w:right w:val="single" w:sz="4" w:space="0" w:color="BBCFE0"/>
            </w:tcBorders>
            <w:shd w:val="clear" w:color="auto" w:fill="FFFFFF"/>
            <w:tcMar>
              <w:top w:w="80" w:type="dxa"/>
              <w:left w:w="120" w:type="dxa"/>
              <w:bottom w:w="80" w:type="dxa"/>
              <w:right w:w="120" w:type="dxa"/>
            </w:tcMar>
          </w:tcPr>
          <w:p w14:paraId="20973DA5" w14:textId="77777777" w:rsidR="00161D1B" w:rsidRPr="00161D1B" w:rsidRDefault="00161D1B" w:rsidP="006717DC">
            <w:pPr>
              <w:rPr>
                <w:sz w:val="16"/>
                <w:szCs w:val="16"/>
              </w:rPr>
            </w:pPr>
            <w:r>
              <w:rPr>
                <w:sz w:val="16"/>
                <w:szCs w:val="16"/>
              </w:rPr>
              <w:t>Conformity certification</w:t>
            </w:r>
          </w:p>
        </w:tc>
        <w:tc>
          <w:tcPr>
            <w:tcW w:w="2551" w:type="dxa"/>
            <w:tcBorders>
              <w:top w:val="single" w:sz="4" w:space="0" w:color="BBCFE0"/>
              <w:left w:val="single" w:sz="4" w:space="0" w:color="BBCFE0"/>
              <w:bottom w:val="single" w:sz="4" w:space="0" w:color="BBCFE0"/>
              <w:right w:val="single" w:sz="4" w:space="0" w:color="BBCFE0"/>
            </w:tcBorders>
            <w:shd w:val="clear" w:color="auto" w:fill="FFFFFF"/>
            <w:tcMar>
              <w:top w:w="80" w:type="dxa"/>
              <w:left w:w="120" w:type="dxa"/>
              <w:bottom w:w="80" w:type="dxa"/>
              <w:right w:w="120" w:type="dxa"/>
            </w:tcMar>
          </w:tcPr>
          <w:p w14:paraId="6524AB52" w14:textId="77777777" w:rsidR="00161D1B" w:rsidRPr="00161D1B" w:rsidRDefault="00161D1B" w:rsidP="006717DC">
            <w:pPr>
              <w:rPr>
                <w:sz w:val="16"/>
                <w:szCs w:val="16"/>
              </w:rPr>
            </w:pPr>
            <w:r>
              <w:rPr>
                <w:i/>
                <w:iCs/>
                <w:sz w:val="16"/>
                <w:szCs w:val="16"/>
              </w:rPr>
              <w:t>Batch (self-declaration) / Model (third-party certified)</w:t>
            </w:r>
          </w:p>
        </w:tc>
      </w:tr>
      <w:tr w:rsidR="00161D1B" w:rsidRPr="00161D1B" w14:paraId="2DDEB4F6" w14:textId="77777777" w:rsidTr="003B10E2">
        <w:tblPrEx>
          <w:tblCellMar>
            <w:top w:w="0" w:type="dxa"/>
            <w:bottom w:w="0" w:type="dxa"/>
          </w:tblCellMar>
        </w:tblPrEx>
        <w:trPr>
          <w:trHeight w:val="20"/>
        </w:trPr>
        <w:tc>
          <w:tcPr>
            <w:tcW w:w="2200" w:type="dxa"/>
            <w:vMerge w:val="restart"/>
            <w:tcBorders>
              <w:top w:val="single" w:sz="4" w:space="0" w:color="BBCFE0"/>
              <w:left w:val="single" w:sz="4" w:space="0" w:color="BBCFE0"/>
              <w:bottom w:val="single" w:sz="4" w:space="0" w:color="BBCFE0"/>
              <w:right w:val="single" w:sz="4" w:space="0" w:color="BBCFE0"/>
            </w:tcBorders>
            <w:shd w:val="clear" w:color="auto" w:fill="D2E3F0"/>
            <w:tcMar>
              <w:top w:w="80" w:type="dxa"/>
              <w:left w:w="120" w:type="dxa"/>
              <w:bottom w:w="80" w:type="dxa"/>
              <w:right w:w="120" w:type="dxa"/>
            </w:tcMar>
            <w:vAlign w:val="center"/>
          </w:tcPr>
          <w:p w14:paraId="422E0D61" w14:textId="77777777" w:rsidR="00161D1B" w:rsidRPr="00161D1B" w:rsidRDefault="00161D1B" w:rsidP="006717DC">
            <w:pPr>
              <w:rPr>
                <w:sz w:val="16"/>
                <w:szCs w:val="16"/>
              </w:rPr>
            </w:pPr>
            <w:r>
              <w:rPr>
                <w:b/>
                <w:bCs/>
                <w:color w:val="1F4E79"/>
                <w:sz w:val="16"/>
                <w:szCs w:val="16"/>
              </w:rPr>
              <w:t>Product Information — Chemical properties</w:t>
            </w:r>
          </w:p>
        </w:tc>
        <w:tc>
          <w:tcPr>
            <w:tcW w:w="4275" w:type="dxa"/>
            <w:tcBorders>
              <w:top w:val="single" w:sz="4" w:space="0" w:color="BBCFE0"/>
              <w:left w:val="single" w:sz="4" w:space="0" w:color="BBCFE0"/>
              <w:bottom w:val="single" w:sz="4" w:space="0" w:color="BBCFE0"/>
              <w:right w:val="single" w:sz="4" w:space="0" w:color="BBCFE0"/>
            </w:tcBorders>
            <w:shd w:val="clear" w:color="auto" w:fill="EAF1F8"/>
            <w:tcMar>
              <w:top w:w="80" w:type="dxa"/>
              <w:left w:w="120" w:type="dxa"/>
              <w:bottom w:w="80" w:type="dxa"/>
              <w:right w:w="120" w:type="dxa"/>
            </w:tcMar>
          </w:tcPr>
          <w:p w14:paraId="7BC42C42" w14:textId="77777777" w:rsidR="00161D1B" w:rsidRPr="00161D1B" w:rsidRDefault="00161D1B" w:rsidP="006717DC">
            <w:pPr>
              <w:rPr>
                <w:sz w:val="16"/>
                <w:szCs w:val="16"/>
              </w:rPr>
            </w:pPr>
            <w:r>
              <w:rPr>
                <w:sz w:val="16"/>
                <w:szCs w:val="16"/>
              </w:rPr>
              <w:t>Substances of Concern (SoC)</w:t>
            </w:r>
          </w:p>
        </w:tc>
        <w:tc>
          <w:tcPr>
            <w:tcW w:w="2551" w:type="dxa"/>
            <w:tcBorders>
              <w:top w:val="single" w:sz="4" w:space="0" w:color="BBCFE0"/>
              <w:left w:val="single" w:sz="4" w:space="0" w:color="BBCFE0"/>
              <w:bottom w:val="single" w:sz="4" w:space="0" w:color="BBCFE0"/>
              <w:right w:val="single" w:sz="4" w:space="0" w:color="BBCFE0"/>
            </w:tcBorders>
            <w:shd w:val="clear" w:color="auto" w:fill="EAF1F8"/>
            <w:tcMar>
              <w:top w:w="80" w:type="dxa"/>
              <w:left w:w="120" w:type="dxa"/>
              <w:bottom w:w="80" w:type="dxa"/>
              <w:right w:w="120" w:type="dxa"/>
            </w:tcMar>
          </w:tcPr>
          <w:p w14:paraId="2FE2E101" w14:textId="77777777" w:rsidR="00161D1B" w:rsidRPr="00161D1B" w:rsidRDefault="00161D1B" w:rsidP="006717DC">
            <w:pPr>
              <w:rPr>
                <w:sz w:val="16"/>
                <w:szCs w:val="16"/>
              </w:rPr>
            </w:pPr>
            <w:r>
              <w:rPr>
                <w:sz w:val="16"/>
                <w:szCs w:val="16"/>
              </w:rPr>
              <w:t>Batch</w:t>
            </w:r>
          </w:p>
        </w:tc>
      </w:tr>
      <w:tr w:rsidR="00161D1B" w:rsidRPr="00161D1B" w14:paraId="78B0278F" w14:textId="77777777" w:rsidTr="003B10E2">
        <w:tblPrEx>
          <w:tblCellMar>
            <w:top w:w="0" w:type="dxa"/>
            <w:bottom w:w="0" w:type="dxa"/>
          </w:tblCellMar>
        </w:tblPrEx>
        <w:trPr>
          <w:trHeight w:val="20"/>
        </w:trPr>
        <w:tc>
          <w:tcPr>
            <w:tcW w:w="0" w:type="auto"/>
            <w:vMerge/>
            <w:tcBorders>
              <w:top w:val="single" w:sz="4" w:space="0" w:color="BBCFE0"/>
              <w:left w:val="single" w:sz="4" w:space="0" w:color="BBCFE0"/>
              <w:bottom w:val="single" w:sz="4" w:space="0" w:color="BBCFE0"/>
              <w:right w:val="single" w:sz="4" w:space="0" w:color="BBCFE0"/>
            </w:tcBorders>
          </w:tcPr>
          <w:p w14:paraId="53D113CA" w14:textId="77777777" w:rsidR="00161D1B" w:rsidRPr="00161D1B" w:rsidRDefault="00161D1B" w:rsidP="006717DC">
            <w:pPr>
              <w:rPr>
                <w:sz w:val="16"/>
                <w:szCs w:val="16"/>
              </w:rPr>
            </w:pPr>
          </w:p>
        </w:tc>
        <w:tc>
          <w:tcPr>
            <w:tcW w:w="4275" w:type="dxa"/>
            <w:tcBorders>
              <w:top w:val="single" w:sz="4" w:space="0" w:color="BBCFE0"/>
              <w:left w:val="single" w:sz="4" w:space="0" w:color="BBCFE0"/>
              <w:bottom w:val="single" w:sz="4" w:space="0" w:color="BBCFE0"/>
              <w:right w:val="single" w:sz="4" w:space="0" w:color="BBCFE0"/>
            </w:tcBorders>
            <w:shd w:val="clear" w:color="auto" w:fill="FFFFFF"/>
            <w:tcMar>
              <w:top w:w="80" w:type="dxa"/>
              <w:left w:w="120" w:type="dxa"/>
              <w:bottom w:w="80" w:type="dxa"/>
              <w:right w:w="120" w:type="dxa"/>
            </w:tcMar>
          </w:tcPr>
          <w:p w14:paraId="16F0FEBB" w14:textId="77777777" w:rsidR="00161D1B" w:rsidRPr="00161D1B" w:rsidRDefault="00161D1B" w:rsidP="006717DC">
            <w:pPr>
              <w:rPr>
                <w:sz w:val="16"/>
                <w:szCs w:val="16"/>
              </w:rPr>
            </w:pPr>
            <w:r>
              <w:rPr>
                <w:sz w:val="16"/>
                <w:szCs w:val="16"/>
              </w:rPr>
              <w:t>Location of the SoC</w:t>
            </w:r>
          </w:p>
        </w:tc>
        <w:tc>
          <w:tcPr>
            <w:tcW w:w="2551" w:type="dxa"/>
            <w:tcBorders>
              <w:top w:val="single" w:sz="4" w:space="0" w:color="BBCFE0"/>
              <w:left w:val="single" w:sz="4" w:space="0" w:color="BBCFE0"/>
              <w:bottom w:val="single" w:sz="4" w:space="0" w:color="BBCFE0"/>
              <w:right w:val="single" w:sz="4" w:space="0" w:color="BBCFE0"/>
            </w:tcBorders>
            <w:shd w:val="clear" w:color="auto" w:fill="FFFFFF"/>
            <w:tcMar>
              <w:top w:w="80" w:type="dxa"/>
              <w:left w:w="120" w:type="dxa"/>
              <w:bottom w:w="80" w:type="dxa"/>
              <w:right w:w="120" w:type="dxa"/>
            </w:tcMar>
          </w:tcPr>
          <w:p w14:paraId="36691750" w14:textId="77777777" w:rsidR="00161D1B" w:rsidRPr="00161D1B" w:rsidRDefault="00161D1B" w:rsidP="006717DC">
            <w:pPr>
              <w:rPr>
                <w:sz w:val="16"/>
                <w:szCs w:val="16"/>
              </w:rPr>
            </w:pPr>
            <w:r>
              <w:rPr>
                <w:sz w:val="16"/>
                <w:szCs w:val="16"/>
              </w:rPr>
              <w:t>Batch</w:t>
            </w:r>
          </w:p>
        </w:tc>
      </w:tr>
      <w:tr w:rsidR="00161D1B" w:rsidRPr="00161D1B" w14:paraId="51ECE45E" w14:textId="77777777" w:rsidTr="003B10E2">
        <w:tblPrEx>
          <w:tblCellMar>
            <w:top w:w="0" w:type="dxa"/>
            <w:bottom w:w="0" w:type="dxa"/>
          </w:tblCellMar>
        </w:tblPrEx>
        <w:trPr>
          <w:trHeight w:val="20"/>
        </w:trPr>
        <w:tc>
          <w:tcPr>
            <w:tcW w:w="0" w:type="auto"/>
            <w:vMerge/>
            <w:tcBorders>
              <w:top w:val="single" w:sz="4" w:space="0" w:color="BBCFE0"/>
              <w:left w:val="single" w:sz="4" w:space="0" w:color="BBCFE0"/>
              <w:bottom w:val="single" w:sz="4" w:space="0" w:color="BBCFE0"/>
              <w:right w:val="single" w:sz="4" w:space="0" w:color="BBCFE0"/>
            </w:tcBorders>
          </w:tcPr>
          <w:p w14:paraId="18EA8E71" w14:textId="77777777" w:rsidR="00161D1B" w:rsidRPr="00161D1B" w:rsidRDefault="00161D1B" w:rsidP="006717DC">
            <w:pPr>
              <w:rPr>
                <w:sz w:val="16"/>
                <w:szCs w:val="16"/>
              </w:rPr>
            </w:pPr>
          </w:p>
        </w:tc>
        <w:tc>
          <w:tcPr>
            <w:tcW w:w="4275" w:type="dxa"/>
            <w:tcBorders>
              <w:top w:val="single" w:sz="4" w:space="0" w:color="BBCFE0"/>
              <w:left w:val="single" w:sz="4" w:space="0" w:color="BBCFE0"/>
              <w:bottom w:val="single" w:sz="4" w:space="0" w:color="BBCFE0"/>
              <w:right w:val="single" w:sz="4" w:space="0" w:color="BBCFE0"/>
            </w:tcBorders>
            <w:shd w:val="clear" w:color="auto" w:fill="EAF1F8"/>
            <w:tcMar>
              <w:top w:w="80" w:type="dxa"/>
              <w:left w:w="120" w:type="dxa"/>
              <w:bottom w:w="80" w:type="dxa"/>
              <w:right w:w="120" w:type="dxa"/>
            </w:tcMar>
          </w:tcPr>
          <w:p w14:paraId="79673155" w14:textId="77777777" w:rsidR="00161D1B" w:rsidRPr="00161D1B" w:rsidRDefault="00161D1B" w:rsidP="006717DC">
            <w:pPr>
              <w:rPr>
                <w:sz w:val="16"/>
                <w:szCs w:val="16"/>
              </w:rPr>
            </w:pPr>
            <w:r>
              <w:rPr>
                <w:sz w:val="16"/>
                <w:szCs w:val="16"/>
              </w:rPr>
              <w:t>Concentration of SoC</w:t>
            </w:r>
          </w:p>
        </w:tc>
        <w:tc>
          <w:tcPr>
            <w:tcW w:w="2551" w:type="dxa"/>
            <w:tcBorders>
              <w:top w:val="single" w:sz="4" w:space="0" w:color="BBCFE0"/>
              <w:left w:val="single" w:sz="4" w:space="0" w:color="BBCFE0"/>
              <w:bottom w:val="single" w:sz="4" w:space="0" w:color="BBCFE0"/>
              <w:right w:val="single" w:sz="4" w:space="0" w:color="BBCFE0"/>
            </w:tcBorders>
            <w:shd w:val="clear" w:color="auto" w:fill="EAF1F8"/>
            <w:tcMar>
              <w:top w:w="80" w:type="dxa"/>
              <w:left w:w="120" w:type="dxa"/>
              <w:bottom w:w="80" w:type="dxa"/>
              <w:right w:w="120" w:type="dxa"/>
            </w:tcMar>
          </w:tcPr>
          <w:p w14:paraId="06DC7122" w14:textId="77777777" w:rsidR="00161D1B" w:rsidRPr="00161D1B" w:rsidRDefault="00161D1B" w:rsidP="006717DC">
            <w:pPr>
              <w:rPr>
                <w:sz w:val="16"/>
                <w:szCs w:val="16"/>
              </w:rPr>
            </w:pPr>
            <w:r>
              <w:rPr>
                <w:sz w:val="16"/>
                <w:szCs w:val="16"/>
              </w:rPr>
              <w:t>Batch</w:t>
            </w:r>
          </w:p>
        </w:tc>
      </w:tr>
      <w:tr w:rsidR="00161D1B" w:rsidRPr="00161D1B" w14:paraId="2F302E9A" w14:textId="77777777" w:rsidTr="003B10E2">
        <w:tblPrEx>
          <w:tblCellMar>
            <w:top w:w="0" w:type="dxa"/>
            <w:bottom w:w="0" w:type="dxa"/>
          </w:tblCellMar>
        </w:tblPrEx>
        <w:trPr>
          <w:trHeight w:val="20"/>
        </w:trPr>
        <w:tc>
          <w:tcPr>
            <w:tcW w:w="0" w:type="auto"/>
            <w:vMerge/>
            <w:tcBorders>
              <w:top w:val="single" w:sz="4" w:space="0" w:color="BBCFE0"/>
              <w:left w:val="single" w:sz="4" w:space="0" w:color="BBCFE0"/>
              <w:bottom w:val="single" w:sz="4" w:space="0" w:color="BBCFE0"/>
              <w:right w:val="single" w:sz="4" w:space="0" w:color="BBCFE0"/>
            </w:tcBorders>
          </w:tcPr>
          <w:p w14:paraId="0801BAC6" w14:textId="77777777" w:rsidR="00161D1B" w:rsidRPr="00161D1B" w:rsidRDefault="00161D1B" w:rsidP="006717DC">
            <w:pPr>
              <w:rPr>
                <w:sz w:val="16"/>
                <w:szCs w:val="16"/>
              </w:rPr>
            </w:pPr>
          </w:p>
        </w:tc>
        <w:tc>
          <w:tcPr>
            <w:tcW w:w="4275" w:type="dxa"/>
            <w:tcBorders>
              <w:top w:val="single" w:sz="4" w:space="0" w:color="BBCFE0"/>
              <w:left w:val="single" w:sz="4" w:space="0" w:color="BBCFE0"/>
              <w:bottom w:val="single" w:sz="4" w:space="0" w:color="BBCFE0"/>
              <w:right w:val="single" w:sz="4" w:space="0" w:color="BBCFE0"/>
            </w:tcBorders>
            <w:shd w:val="clear" w:color="auto" w:fill="FFFFFF"/>
            <w:tcMar>
              <w:top w:w="80" w:type="dxa"/>
              <w:left w:w="120" w:type="dxa"/>
              <w:bottom w:w="80" w:type="dxa"/>
              <w:right w:w="120" w:type="dxa"/>
            </w:tcMar>
          </w:tcPr>
          <w:p w14:paraId="4567027D" w14:textId="77777777" w:rsidR="00161D1B" w:rsidRPr="00161D1B" w:rsidRDefault="00161D1B" w:rsidP="006717DC">
            <w:pPr>
              <w:rPr>
                <w:sz w:val="16"/>
                <w:szCs w:val="16"/>
              </w:rPr>
            </w:pPr>
            <w:r>
              <w:rPr>
                <w:sz w:val="16"/>
                <w:szCs w:val="16"/>
              </w:rPr>
              <w:t>Relevant instructions for the safe use</w:t>
            </w:r>
          </w:p>
        </w:tc>
        <w:tc>
          <w:tcPr>
            <w:tcW w:w="2551" w:type="dxa"/>
            <w:tcBorders>
              <w:top w:val="single" w:sz="4" w:space="0" w:color="BBCFE0"/>
              <w:left w:val="single" w:sz="4" w:space="0" w:color="BBCFE0"/>
              <w:bottom w:val="single" w:sz="4" w:space="0" w:color="BBCFE0"/>
              <w:right w:val="single" w:sz="4" w:space="0" w:color="BBCFE0"/>
            </w:tcBorders>
            <w:shd w:val="clear" w:color="auto" w:fill="FFFFFF"/>
            <w:tcMar>
              <w:top w:w="80" w:type="dxa"/>
              <w:left w:w="120" w:type="dxa"/>
              <w:bottom w:w="80" w:type="dxa"/>
              <w:right w:w="120" w:type="dxa"/>
            </w:tcMar>
          </w:tcPr>
          <w:p w14:paraId="1BD756F8" w14:textId="77777777" w:rsidR="00161D1B" w:rsidRPr="00161D1B" w:rsidRDefault="00161D1B" w:rsidP="006717DC">
            <w:pPr>
              <w:rPr>
                <w:sz w:val="16"/>
                <w:szCs w:val="16"/>
              </w:rPr>
            </w:pPr>
            <w:r>
              <w:rPr>
                <w:sz w:val="16"/>
                <w:szCs w:val="16"/>
              </w:rPr>
              <w:t>Batch</w:t>
            </w:r>
          </w:p>
        </w:tc>
      </w:tr>
      <w:tr w:rsidR="00161D1B" w:rsidRPr="00161D1B" w14:paraId="00883E9F" w14:textId="77777777" w:rsidTr="003B10E2">
        <w:tblPrEx>
          <w:tblCellMar>
            <w:top w:w="0" w:type="dxa"/>
            <w:bottom w:w="0" w:type="dxa"/>
          </w:tblCellMar>
        </w:tblPrEx>
        <w:trPr>
          <w:trHeight w:val="20"/>
        </w:trPr>
        <w:tc>
          <w:tcPr>
            <w:tcW w:w="0" w:type="auto"/>
            <w:vMerge/>
            <w:tcBorders>
              <w:top w:val="single" w:sz="4" w:space="0" w:color="BBCFE0"/>
              <w:left w:val="single" w:sz="4" w:space="0" w:color="BBCFE0"/>
              <w:bottom w:val="single" w:sz="4" w:space="0" w:color="BBCFE0"/>
              <w:right w:val="single" w:sz="4" w:space="0" w:color="BBCFE0"/>
            </w:tcBorders>
          </w:tcPr>
          <w:p w14:paraId="6678A0DC" w14:textId="77777777" w:rsidR="00161D1B" w:rsidRPr="00161D1B" w:rsidRDefault="00161D1B" w:rsidP="006717DC">
            <w:pPr>
              <w:rPr>
                <w:sz w:val="16"/>
                <w:szCs w:val="16"/>
              </w:rPr>
            </w:pPr>
          </w:p>
        </w:tc>
        <w:tc>
          <w:tcPr>
            <w:tcW w:w="4275" w:type="dxa"/>
            <w:tcBorders>
              <w:top w:val="single" w:sz="4" w:space="0" w:color="BBCFE0"/>
              <w:left w:val="single" w:sz="4" w:space="0" w:color="BBCFE0"/>
              <w:bottom w:val="single" w:sz="4" w:space="0" w:color="BBCFE0"/>
              <w:right w:val="single" w:sz="4" w:space="0" w:color="BBCFE0"/>
            </w:tcBorders>
            <w:shd w:val="clear" w:color="auto" w:fill="EAF1F8"/>
            <w:tcMar>
              <w:top w:w="80" w:type="dxa"/>
              <w:left w:w="120" w:type="dxa"/>
              <w:bottom w:w="80" w:type="dxa"/>
              <w:right w:w="120" w:type="dxa"/>
            </w:tcMar>
          </w:tcPr>
          <w:p w14:paraId="3CC00CBC" w14:textId="77777777" w:rsidR="00161D1B" w:rsidRPr="00161D1B" w:rsidRDefault="00161D1B" w:rsidP="006717DC">
            <w:pPr>
              <w:rPr>
                <w:sz w:val="16"/>
                <w:szCs w:val="16"/>
              </w:rPr>
            </w:pPr>
            <w:r>
              <w:rPr>
                <w:sz w:val="16"/>
                <w:szCs w:val="16"/>
              </w:rPr>
              <w:t>Information relevant for disassembly, reuse, recycling and management at EoL</w:t>
            </w:r>
          </w:p>
        </w:tc>
        <w:tc>
          <w:tcPr>
            <w:tcW w:w="2551" w:type="dxa"/>
            <w:tcBorders>
              <w:top w:val="single" w:sz="4" w:space="0" w:color="BBCFE0"/>
              <w:left w:val="single" w:sz="4" w:space="0" w:color="BBCFE0"/>
              <w:bottom w:val="single" w:sz="4" w:space="0" w:color="BBCFE0"/>
              <w:right w:val="single" w:sz="4" w:space="0" w:color="BBCFE0"/>
            </w:tcBorders>
            <w:shd w:val="clear" w:color="auto" w:fill="EAF1F8"/>
            <w:tcMar>
              <w:top w:w="80" w:type="dxa"/>
              <w:left w:w="120" w:type="dxa"/>
              <w:bottom w:w="80" w:type="dxa"/>
              <w:right w:w="120" w:type="dxa"/>
            </w:tcMar>
          </w:tcPr>
          <w:p w14:paraId="2EB568F5" w14:textId="77777777" w:rsidR="00161D1B" w:rsidRPr="00161D1B" w:rsidRDefault="00161D1B" w:rsidP="006717DC">
            <w:pPr>
              <w:rPr>
                <w:sz w:val="16"/>
                <w:szCs w:val="16"/>
              </w:rPr>
            </w:pPr>
            <w:r>
              <w:rPr>
                <w:sz w:val="16"/>
                <w:szCs w:val="16"/>
              </w:rPr>
              <w:t>Batch</w:t>
            </w:r>
          </w:p>
        </w:tc>
      </w:tr>
      <w:tr w:rsidR="00161D1B" w:rsidRPr="00161D1B" w14:paraId="2436880B" w14:textId="77777777" w:rsidTr="003B10E2">
        <w:tblPrEx>
          <w:tblCellMar>
            <w:top w:w="0" w:type="dxa"/>
            <w:bottom w:w="0" w:type="dxa"/>
          </w:tblCellMar>
        </w:tblPrEx>
        <w:trPr>
          <w:trHeight w:val="20"/>
        </w:trPr>
        <w:tc>
          <w:tcPr>
            <w:tcW w:w="2200" w:type="dxa"/>
            <w:vMerge w:val="restart"/>
            <w:tcBorders>
              <w:top w:val="single" w:sz="4" w:space="0" w:color="BBCFE0"/>
              <w:left w:val="single" w:sz="4" w:space="0" w:color="BBCFE0"/>
              <w:bottom w:val="single" w:sz="4" w:space="0" w:color="BBCFE0"/>
              <w:right w:val="single" w:sz="4" w:space="0" w:color="BBCFE0"/>
            </w:tcBorders>
            <w:shd w:val="clear" w:color="auto" w:fill="D2E3F0"/>
            <w:tcMar>
              <w:top w:w="80" w:type="dxa"/>
              <w:left w:w="120" w:type="dxa"/>
              <w:bottom w:w="80" w:type="dxa"/>
              <w:right w:w="120" w:type="dxa"/>
            </w:tcMar>
            <w:vAlign w:val="center"/>
          </w:tcPr>
          <w:p w14:paraId="05D71569" w14:textId="77777777" w:rsidR="00161D1B" w:rsidRPr="00161D1B" w:rsidRDefault="00161D1B" w:rsidP="006717DC">
            <w:pPr>
              <w:rPr>
                <w:sz w:val="16"/>
                <w:szCs w:val="16"/>
              </w:rPr>
            </w:pPr>
            <w:r>
              <w:rPr>
                <w:b/>
                <w:bCs/>
                <w:color w:val="1F4E79"/>
                <w:sz w:val="16"/>
                <w:szCs w:val="16"/>
              </w:rPr>
              <w:lastRenderedPageBreak/>
              <w:t>Product Information — Recyclability</w:t>
            </w:r>
          </w:p>
        </w:tc>
        <w:tc>
          <w:tcPr>
            <w:tcW w:w="4275" w:type="dxa"/>
            <w:tcBorders>
              <w:top w:val="single" w:sz="4" w:space="0" w:color="BBCFE0"/>
              <w:left w:val="single" w:sz="4" w:space="0" w:color="BBCFE0"/>
              <w:bottom w:val="single" w:sz="4" w:space="0" w:color="BBCFE0"/>
              <w:right w:val="single" w:sz="4" w:space="0" w:color="BBCFE0"/>
            </w:tcBorders>
            <w:shd w:val="clear" w:color="auto" w:fill="FFFFFF"/>
            <w:tcMar>
              <w:top w:w="80" w:type="dxa"/>
              <w:left w:w="120" w:type="dxa"/>
              <w:bottom w:w="80" w:type="dxa"/>
              <w:right w:w="120" w:type="dxa"/>
            </w:tcMar>
          </w:tcPr>
          <w:p w14:paraId="275D00BD" w14:textId="77777777" w:rsidR="00161D1B" w:rsidRPr="00161D1B" w:rsidRDefault="00161D1B" w:rsidP="006717DC">
            <w:pPr>
              <w:rPr>
                <w:sz w:val="16"/>
                <w:szCs w:val="16"/>
              </w:rPr>
            </w:pPr>
            <w:r>
              <w:rPr>
                <w:sz w:val="16"/>
                <w:szCs w:val="16"/>
              </w:rPr>
              <w:t>Recyclability score</w:t>
            </w:r>
          </w:p>
        </w:tc>
        <w:tc>
          <w:tcPr>
            <w:tcW w:w="2551" w:type="dxa"/>
            <w:tcBorders>
              <w:top w:val="single" w:sz="4" w:space="0" w:color="BBCFE0"/>
              <w:left w:val="single" w:sz="4" w:space="0" w:color="BBCFE0"/>
              <w:bottom w:val="single" w:sz="4" w:space="0" w:color="BBCFE0"/>
              <w:right w:val="single" w:sz="4" w:space="0" w:color="BBCFE0"/>
            </w:tcBorders>
            <w:shd w:val="clear" w:color="auto" w:fill="FFFFFF"/>
            <w:tcMar>
              <w:top w:w="80" w:type="dxa"/>
              <w:left w:w="120" w:type="dxa"/>
              <w:bottom w:w="80" w:type="dxa"/>
              <w:right w:w="120" w:type="dxa"/>
            </w:tcMar>
          </w:tcPr>
          <w:p w14:paraId="35F21C5A" w14:textId="77777777" w:rsidR="00161D1B" w:rsidRPr="00161D1B" w:rsidRDefault="00161D1B" w:rsidP="006717DC">
            <w:pPr>
              <w:rPr>
                <w:sz w:val="16"/>
                <w:szCs w:val="16"/>
              </w:rPr>
            </w:pPr>
            <w:r>
              <w:rPr>
                <w:sz w:val="16"/>
                <w:szCs w:val="16"/>
              </w:rPr>
              <w:t>Model</w:t>
            </w:r>
          </w:p>
        </w:tc>
      </w:tr>
      <w:tr w:rsidR="00161D1B" w:rsidRPr="00161D1B" w14:paraId="35CDFD45" w14:textId="77777777" w:rsidTr="003B10E2">
        <w:tblPrEx>
          <w:tblCellMar>
            <w:top w:w="0" w:type="dxa"/>
            <w:bottom w:w="0" w:type="dxa"/>
          </w:tblCellMar>
        </w:tblPrEx>
        <w:trPr>
          <w:trHeight w:val="20"/>
        </w:trPr>
        <w:tc>
          <w:tcPr>
            <w:tcW w:w="0" w:type="auto"/>
            <w:vMerge/>
            <w:tcBorders>
              <w:top w:val="single" w:sz="4" w:space="0" w:color="BBCFE0"/>
              <w:left w:val="single" w:sz="4" w:space="0" w:color="BBCFE0"/>
              <w:bottom w:val="single" w:sz="4" w:space="0" w:color="BBCFE0"/>
              <w:right w:val="single" w:sz="4" w:space="0" w:color="BBCFE0"/>
            </w:tcBorders>
          </w:tcPr>
          <w:p w14:paraId="5B0DD9F9" w14:textId="77777777" w:rsidR="00161D1B" w:rsidRPr="00161D1B" w:rsidRDefault="00161D1B" w:rsidP="006717DC">
            <w:pPr>
              <w:rPr>
                <w:sz w:val="16"/>
                <w:szCs w:val="16"/>
              </w:rPr>
            </w:pPr>
          </w:p>
        </w:tc>
        <w:tc>
          <w:tcPr>
            <w:tcW w:w="4275" w:type="dxa"/>
            <w:tcBorders>
              <w:top w:val="single" w:sz="4" w:space="0" w:color="BBCFE0"/>
              <w:left w:val="single" w:sz="4" w:space="0" w:color="BBCFE0"/>
              <w:bottom w:val="single" w:sz="4" w:space="0" w:color="BBCFE0"/>
              <w:right w:val="single" w:sz="4" w:space="0" w:color="BBCFE0"/>
            </w:tcBorders>
            <w:shd w:val="clear" w:color="auto" w:fill="EAF1F8"/>
            <w:tcMar>
              <w:top w:w="80" w:type="dxa"/>
              <w:left w:w="120" w:type="dxa"/>
              <w:bottom w:w="80" w:type="dxa"/>
              <w:right w:w="120" w:type="dxa"/>
            </w:tcMar>
          </w:tcPr>
          <w:p w14:paraId="3D700657" w14:textId="77777777" w:rsidR="00161D1B" w:rsidRPr="00161D1B" w:rsidRDefault="00161D1B" w:rsidP="006717DC">
            <w:pPr>
              <w:rPr>
                <w:sz w:val="16"/>
                <w:szCs w:val="16"/>
              </w:rPr>
            </w:pPr>
            <w:r>
              <w:rPr>
                <w:sz w:val="16"/>
                <w:szCs w:val="16"/>
              </w:rPr>
              <w:t>Conformity certification</w:t>
            </w:r>
          </w:p>
        </w:tc>
        <w:tc>
          <w:tcPr>
            <w:tcW w:w="2551" w:type="dxa"/>
            <w:tcBorders>
              <w:top w:val="single" w:sz="4" w:space="0" w:color="BBCFE0"/>
              <w:left w:val="single" w:sz="4" w:space="0" w:color="BBCFE0"/>
              <w:bottom w:val="single" w:sz="4" w:space="0" w:color="BBCFE0"/>
              <w:right w:val="single" w:sz="4" w:space="0" w:color="BBCFE0"/>
            </w:tcBorders>
            <w:shd w:val="clear" w:color="auto" w:fill="EAF1F8"/>
            <w:tcMar>
              <w:top w:w="80" w:type="dxa"/>
              <w:left w:w="120" w:type="dxa"/>
              <w:bottom w:w="80" w:type="dxa"/>
              <w:right w:w="120" w:type="dxa"/>
            </w:tcMar>
          </w:tcPr>
          <w:p w14:paraId="0DB00C21" w14:textId="77777777" w:rsidR="00161D1B" w:rsidRPr="00161D1B" w:rsidRDefault="00161D1B" w:rsidP="006717DC">
            <w:pPr>
              <w:rPr>
                <w:sz w:val="16"/>
                <w:szCs w:val="16"/>
              </w:rPr>
            </w:pPr>
            <w:r>
              <w:rPr>
                <w:sz w:val="16"/>
                <w:szCs w:val="16"/>
              </w:rPr>
              <w:t>Model</w:t>
            </w:r>
          </w:p>
        </w:tc>
      </w:tr>
      <w:tr w:rsidR="00161D1B" w:rsidRPr="00161D1B" w14:paraId="0F4B4531" w14:textId="77777777" w:rsidTr="003B10E2">
        <w:tblPrEx>
          <w:tblCellMar>
            <w:top w:w="0" w:type="dxa"/>
            <w:bottom w:w="0" w:type="dxa"/>
          </w:tblCellMar>
        </w:tblPrEx>
        <w:trPr>
          <w:trHeight w:val="20"/>
        </w:trPr>
        <w:tc>
          <w:tcPr>
            <w:tcW w:w="2200" w:type="dxa"/>
            <w:vMerge w:val="restart"/>
            <w:tcBorders>
              <w:top w:val="single" w:sz="4" w:space="0" w:color="BBCFE0"/>
              <w:left w:val="single" w:sz="4" w:space="0" w:color="BBCFE0"/>
              <w:bottom w:val="single" w:sz="4" w:space="0" w:color="BBCFE0"/>
              <w:right w:val="single" w:sz="4" w:space="0" w:color="BBCFE0"/>
            </w:tcBorders>
            <w:shd w:val="clear" w:color="auto" w:fill="D2E3F0"/>
            <w:tcMar>
              <w:top w:w="80" w:type="dxa"/>
              <w:left w:w="120" w:type="dxa"/>
              <w:bottom w:w="80" w:type="dxa"/>
              <w:right w:w="120" w:type="dxa"/>
            </w:tcMar>
            <w:vAlign w:val="center"/>
          </w:tcPr>
          <w:p w14:paraId="3A7A0B25" w14:textId="77777777" w:rsidR="00161D1B" w:rsidRPr="00161D1B" w:rsidRDefault="00161D1B" w:rsidP="006717DC">
            <w:pPr>
              <w:rPr>
                <w:sz w:val="16"/>
                <w:szCs w:val="16"/>
              </w:rPr>
            </w:pPr>
            <w:r>
              <w:rPr>
                <w:b/>
                <w:bCs/>
                <w:color w:val="1F4E79"/>
                <w:sz w:val="16"/>
                <w:szCs w:val="16"/>
              </w:rPr>
              <w:t>Product Information — Recycled content</w:t>
            </w:r>
          </w:p>
        </w:tc>
        <w:tc>
          <w:tcPr>
            <w:tcW w:w="4275" w:type="dxa"/>
            <w:tcBorders>
              <w:top w:val="single" w:sz="4" w:space="0" w:color="BBCFE0"/>
              <w:left w:val="single" w:sz="4" w:space="0" w:color="BBCFE0"/>
              <w:bottom w:val="single" w:sz="4" w:space="0" w:color="BBCFE0"/>
              <w:right w:val="single" w:sz="4" w:space="0" w:color="BBCFE0"/>
            </w:tcBorders>
            <w:shd w:val="clear" w:color="auto" w:fill="FFFFFF"/>
            <w:tcMar>
              <w:top w:w="80" w:type="dxa"/>
              <w:left w:w="120" w:type="dxa"/>
              <w:bottom w:w="80" w:type="dxa"/>
              <w:right w:w="120" w:type="dxa"/>
            </w:tcMar>
          </w:tcPr>
          <w:p w14:paraId="770A646D" w14:textId="77777777" w:rsidR="00161D1B" w:rsidRPr="00161D1B" w:rsidRDefault="00161D1B" w:rsidP="006717DC">
            <w:pPr>
              <w:rPr>
                <w:sz w:val="16"/>
                <w:szCs w:val="16"/>
              </w:rPr>
            </w:pPr>
            <w:r>
              <w:rPr>
                <w:sz w:val="16"/>
                <w:szCs w:val="16"/>
              </w:rPr>
              <w:t>Recycled content (%)</w:t>
            </w:r>
          </w:p>
        </w:tc>
        <w:tc>
          <w:tcPr>
            <w:tcW w:w="2551" w:type="dxa"/>
            <w:tcBorders>
              <w:top w:val="single" w:sz="4" w:space="0" w:color="BBCFE0"/>
              <w:left w:val="single" w:sz="4" w:space="0" w:color="BBCFE0"/>
              <w:bottom w:val="single" w:sz="4" w:space="0" w:color="BBCFE0"/>
              <w:right w:val="single" w:sz="4" w:space="0" w:color="BBCFE0"/>
            </w:tcBorders>
            <w:shd w:val="clear" w:color="auto" w:fill="FFFFFF"/>
            <w:tcMar>
              <w:top w:w="80" w:type="dxa"/>
              <w:left w:w="120" w:type="dxa"/>
              <w:bottom w:w="80" w:type="dxa"/>
              <w:right w:w="120" w:type="dxa"/>
            </w:tcMar>
          </w:tcPr>
          <w:p w14:paraId="64BBAF91" w14:textId="77777777" w:rsidR="00161D1B" w:rsidRPr="00161D1B" w:rsidRDefault="00161D1B" w:rsidP="006717DC">
            <w:pPr>
              <w:rPr>
                <w:sz w:val="16"/>
                <w:szCs w:val="16"/>
              </w:rPr>
            </w:pPr>
            <w:r>
              <w:rPr>
                <w:sz w:val="16"/>
                <w:szCs w:val="16"/>
              </w:rPr>
              <w:t>Model</w:t>
            </w:r>
          </w:p>
        </w:tc>
      </w:tr>
      <w:tr w:rsidR="00161D1B" w:rsidRPr="00161D1B" w14:paraId="2CE2D396" w14:textId="77777777" w:rsidTr="003B10E2">
        <w:tblPrEx>
          <w:tblCellMar>
            <w:top w:w="0" w:type="dxa"/>
            <w:bottom w:w="0" w:type="dxa"/>
          </w:tblCellMar>
        </w:tblPrEx>
        <w:trPr>
          <w:trHeight w:val="20"/>
        </w:trPr>
        <w:tc>
          <w:tcPr>
            <w:tcW w:w="0" w:type="auto"/>
            <w:vMerge/>
            <w:tcBorders>
              <w:top w:val="single" w:sz="4" w:space="0" w:color="BBCFE0"/>
              <w:left w:val="single" w:sz="4" w:space="0" w:color="BBCFE0"/>
              <w:bottom w:val="single" w:sz="4" w:space="0" w:color="BBCFE0"/>
              <w:right w:val="single" w:sz="4" w:space="0" w:color="BBCFE0"/>
            </w:tcBorders>
          </w:tcPr>
          <w:p w14:paraId="55AA1169" w14:textId="77777777" w:rsidR="00161D1B" w:rsidRPr="00161D1B" w:rsidRDefault="00161D1B" w:rsidP="006717DC">
            <w:pPr>
              <w:rPr>
                <w:sz w:val="16"/>
                <w:szCs w:val="16"/>
              </w:rPr>
            </w:pPr>
          </w:p>
        </w:tc>
        <w:tc>
          <w:tcPr>
            <w:tcW w:w="4275" w:type="dxa"/>
            <w:tcBorders>
              <w:top w:val="single" w:sz="4" w:space="0" w:color="BBCFE0"/>
              <w:left w:val="single" w:sz="4" w:space="0" w:color="BBCFE0"/>
              <w:bottom w:val="single" w:sz="4" w:space="0" w:color="BBCFE0"/>
              <w:right w:val="single" w:sz="4" w:space="0" w:color="BBCFE0"/>
            </w:tcBorders>
            <w:shd w:val="clear" w:color="auto" w:fill="EAF1F8"/>
            <w:tcMar>
              <w:top w:w="80" w:type="dxa"/>
              <w:left w:w="120" w:type="dxa"/>
              <w:bottom w:w="80" w:type="dxa"/>
              <w:right w:w="120" w:type="dxa"/>
            </w:tcMar>
          </w:tcPr>
          <w:p w14:paraId="786AD437" w14:textId="77777777" w:rsidR="00161D1B" w:rsidRPr="00161D1B" w:rsidRDefault="00161D1B" w:rsidP="006717DC">
            <w:pPr>
              <w:rPr>
                <w:sz w:val="16"/>
                <w:szCs w:val="16"/>
              </w:rPr>
            </w:pPr>
            <w:r>
              <w:rPr>
                <w:sz w:val="16"/>
                <w:szCs w:val="16"/>
              </w:rPr>
              <w:t>Type of waste</w:t>
            </w:r>
          </w:p>
        </w:tc>
        <w:tc>
          <w:tcPr>
            <w:tcW w:w="2551" w:type="dxa"/>
            <w:tcBorders>
              <w:top w:val="single" w:sz="4" w:space="0" w:color="BBCFE0"/>
              <w:left w:val="single" w:sz="4" w:space="0" w:color="BBCFE0"/>
              <w:bottom w:val="single" w:sz="4" w:space="0" w:color="BBCFE0"/>
              <w:right w:val="single" w:sz="4" w:space="0" w:color="BBCFE0"/>
            </w:tcBorders>
            <w:shd w:val="clear" w:color="auto" w:fill="EAF1F8"/>
            <w:tcMar>
              <w:top w:w="80" w:type="dxa"/>
              <w:left w:w="120" w:type="dxa"/>
              <w:bottom w:w="80" w:type="dxa"/>
              <w:right w:w="120" w:type="dxa"/>
            </w:tcMar>
          </w:tcPr>
          <w:p w14:paraId="355C317A" w14:textId="77777777" w:rsidR="00161D1B" w:rsidRPr="00161D1B" w:rsidRDefault="00161D1B" w:rsidP="006717DC">
            <w:pPr>
              <w:rPr>
                <w:sz w:val="16"/>
                <w:szCs w:val="16"/>
              </w:rPr>
            </w:pPr>
            <w:r>
              <w:rPr>
                <w:sz w:val="16"/>
                <w:szCs w:val="16"/>
              </w:rPr>
              <w:t>Batch</w:t>
            </w:r>
          </w:p>
        </w:tc>
      </w:tr>
      <w:tr w:rsidR="00161D1B" w:rsidRPr="00161D1B" w14:paraId="5E3D7661" w14:textId="77777777" w:rsidTr="003B10E2">
        <w:tblPrEx>
          <w:tblCellMar>
            <w:top w:w="0" w:type="dxa"/>
            <w:bottom w:w="0" w:type="dxa"/>
          </w:tblCellMar>
        </w:tblPrEx>
        <w:trPr>
          <w:trHeight w:val="20"/>
        </w:trPr>
        <w:tc>
          <w:tcPr>
            <w:tcW w:w="0" w:type="auto"/>
            <w:vMerge/>
            <w:tcBorders>
              <w:top w:val="single" w:sz="4" w:space="0" w:color="BBCFE0"/>
              <w:left w:val="single" w:sz="4" w:space="0" w:color="BBCFE0"/>
              <w:bottom w:val="single" w:sz="4" w:space="0" w:color="BBCFE0"/>
              <w:right w:val="single" w:sz="4" w:space="0" w:color="BBCFE0"/>
            </w:tcBorders>
          </w:tcPr>
          <w:p w14:paraId="14DBF929" w14:textId="77777777" w:rsidR="00161D1B" w:rsidRPr="00161D1B" w:rsidRDefault="00161D1B" w:rsidP="006717DC">
            <w:pPr>
              <w:rPr>
                <w:sz w:val="16"/>
                <w:szCs w:val="16"/>
              </w:rPr>
            </w:pPr>
          </w:p>
        </w:tc>
        <w:tc>
          <w:tcPr>
            <w:tcW w:w="4275" w:type="dxa"/>
            <w:tcBorders>
              <w:top w:val="single" w:sz="4" w:space="0" w:color="BBCFE0"/>
              <w:left w:val="single" w:sz="4" w:space="0" w:color="BBCFE0"/>
              <w:bottom w:val="single" w:sz="4" w:space="0" w:color="BBCFE0"/>
              <w:right w:val="single" w:sz="4" w:space="0" w:color="BBCFE0"/>
            </w:tcBorders>
            <w:shd w:val="clear" w:color="auto" w:fill="FFFFFF"/>
            <w:tcMar>
              <w:top w:w="80" w:type="dxa"/>
              <w:left w:w="120" w:type="dxa"/>
              <w:bottom w:w="80" w:type="dxa"/>
              <w:right w:w="120" w:type="dxa"/>
            </w:tcMar>
          </w:tcPr>
          <w:p w14:paraId="55F2614D" w14:textId="77777777" w:rsidR="00161D1B" w:rsidRPr="00161D1B" w:rsidRDefault="00161D1B" w:rsidP="006717DC">
            <w:pPr>
              <w:rPr>
                <w:sz w:val="16"/>
                <w:szCs w:val="16"/>
              </w:rPr>
            </w:pPr>
            <w:r>
              <w:rPr>
                <w:sz w:val="16"/>
                <w:szCs w:val="16"/>
              </w:rPr>
              <w:t>Weight (excluding trims)</w:t>
            </w:r>
          </w:p>
        </w:tc>
        <w:tc>
          <w:tcPr>
            <w:tcW w:w="2551" w:type="dxa"/>
            <w:tcBorders>
              <w:top w:val="single" w:sz="4" w:space="0" w:color="BBCFE0"/>
              <w:left w:val="single" w:sz="4" w:space="0" w:color="BBCFE0"/>
              <w:bottom w:val="single" w:sz="4" w:space="0" w:color="BBCFE0"/>
              <w:right w:val="single" w:sz="4" w:space="0" w:color="BBCFE0"/>
            </w:tcBorders>
            <w:shd w:val="clear" w:color="auto" w:fill="FFFFFF"/>
            <w:tcMar>
              <w:top w:w="80" w:type="dxa"/>
              <w:left w:w="120" w:type="dxa"/>
              <w:bottom w:w="80" w:type="dxa"/>
              <w:right w:w="120" w:type="dxa"/>
            </w:tcMar>
          </w:tcPr>
          <w:p w14:paraId="4E8BA4C8" w14:textId="77777777" w:rsidR="00161D1B" w:rsidRPr="00161D1B" w:rsidRDefault="00161D1B" w:rsidP="006717DC">
            <w:pPr>
              <w:rPr>
                <w:sz w:val="16"/>
                <w:szCs w:val="16"/>
              </w:rPr>
            </w:pPr>
            <w:r>
              <w:rPr>
                <w:sz w:val="16"/>
                <w:szCs w:val="16"/>
              </w:rPr>
              <w:t>Batch</w:t>
            </w:r>
          </w:p>
        </w:tc>
      </w:tr>
      <w:tr w:rsidR="00161D1B" w:rsidRPr="00161D1B" w14:paraId="39474F8E" w14:textId="77777777" w:rsidTr="003B10E2">
        <w:tblPrEx>
          <w:tblCellMar>
            <w:top w:w="0" w:type="dxa"/>
            <w:bottom w:w="0" w:type="dxa"/>
          </w:tblCellMar>
        </w:tblPrEx>
        <w:trPr>
          <w:trHeight w:val="20"/>
        </w:trPr>
        <w:tc>
          <w:tcPr>
            <w:tcW w:w="0" w:type="auto"/>
            <w:vMerge/>
            <w:tcBorders>
              <w:top w:val="single" w:sz="4" w:space="0" w:color="BBCFE0"/>
              <w:left w:val="single" w:sz="4" w:space="0" w:color="BBCFE0"/>
              <w:bottom w:val="single" w:sz="4" w:space="0" w:color="BBCFE0"/>
              <w:right w:val="single" w:sz="4" w:space="0" w:color="BBCFE0"/>
            </w:tcBorders>
          </w:tcPr>
          <w:p w14:paraId="76F34C63" w14:textId="77777777" w:rsidR="00161D1B" w:rsidRPr="00161D1B" w:rsidRDefault="00161D1B" w:rsidP="006717DC">
            <w:pPr>
              <w:rPr>
                <w:sz w:val="16"/>
                <w:szCs w:val="16"/>
              </w:rPr>
            </w:pPr>
          </w:p>
        </w:tc>
        <w:tc>
          <w:tcPr>
            <w:tcW w:w="4275" w:type="dxa"/>
            <w:tcBorders>
              <w:top w:val="single" w:sz="4" w:space="0" w:color="BBCFE0"/>
              <w:left w:val="single" w:sz="4" w:space="0" w:color="BBCFE0"/>
              <w:bottom w:val="single" w:sz="4" w:space="0" w:color="BBCFE0"/>
              <w:right w:val="single" w:sz="4" w:space="0" w:color="BBCFE0"/>
            </w:tcBorders>
            <w:shd w:val="clear" w:color="auto" w:fill="EAF1F8"/>
            <w:tcMar>
              <w:top w:w="80" w:type="dxa"/>
              <w:left w:w="120" w:type="dxa"/>
              <w:bottom w:w="80" w:type="dxa"/>
              <w:right w:w="120" w:type="dxa"/>
            </w:tcMar>
          </w:tcPr>
          <w:p w14:paraId="6EC67A68" w14:textId="77777777" w:rsidR="00161D1B" w:rsidRPr="00161D1B" w:rsidRDefault="00161D1B" w:rsidP="006717DC">
            <w:pPr>
              <w:rPr>
                <w:sz w:val="16"/>
                <w:szCs w:val="16"/>
              </w:rPr>
            </w:pPr>
            <w:r>
              <w:rPr>
                <w:sz w:val="16"/>
                <w:szCs w:val="16"/>
              </w:rPr>
              <w:t>Amount of recycled material</w:t>
            </w:r>
          </w:p>
        </w:tc>
        <w:tc>
          <w:tcPr>
            <w:tcW w:w="2551" w:type="dxa"/>
            <w:tcBorders>
              <w:top w:val="single" w:sz="4" w:space="0" w:color="BBCFE0"/>
              <w:left w:val="single" w:sz="4" w:space="0" w:color="BBCFE0"/>
              <w:bottom w:val="single" w:sz="4" w:space="0" w:color="BBCFE0"/>
              <w:right w:val="single" w:sz="4" w:space="0" w:color="BBCFE0"/>
            </w:tcBorders>
            <w:shd w:val="clear" w:color="auto" w:fill="EAF1F8"/>
            <w:tcMar>
              <w:top w:w="80" w:type="dxa"/>
              <w:left w:w="120" w:type="dxa"/>
              <w:bottom w:w="80" w:type="dxa"/>
              <w:right w:w="120" w:type="dxa"/>
            </w:tcMar>
          </w:tcPr>
          <w:p w14:paraId="4F52DF24" w14:textId="77777777" w:rsidR="00161D1B" w:rsidRPr="00161D1B" w:rsidRDefault="00161D1B" w:rsidP="006717DC">
            <w:pPr>
              <w:rPr>
                <w:sz w:val="16"/>
                <w:szCs w:val="16"/>
              </w:rPr>
            </w:pPr>
            <w:r>
              <w:rPr>
                <w:sz w:val="16"/>
                <w:szCs w:val="16"/>
              </w:rPr>
              <w:t>Model</w:t>
            </w:r>
          </w:p>
        </w:tc>
      </w:tr>
      <w:tr w:rsidR="00161D1B" w:rsidRPr="00161D1B" w14:paraId="2CE2D396" w14:textId="77777777" w:rsidTr="003B10E2">
        <w:tblPrEx>
          <w:tblCellMar>
            <w:top w:w="0" w:type="dxa"/>
            <w:bottom w:w="0" w:type="dxa"/>
          </w:tblCellMar>
        </w:tblPrEx>
        <w:trPr>
          <w:trHeight w:val="20"/>
        </w:trPr>
        <w:tc>
          <w:tcPr>
            <w:tcW w:w="0" w:type="auto"/>
            <w:vMerge/>
            <w:tcBorders>
              <w:top w:val="single" w:sz="4" w:space="0" w:color="BBCFE0"/>
              <w:left w:val="single" w:sz="4" w:space="0" w:color="BBCFE0"/>
              <w:bottom w:val="single" w:sz="4" w:space="0" w:color="BBCFE0"/>
              <w:right w:val="single" w:sz="4" w:space="0" w:color="BBCFE0"/>
            </w:tcBorders>
          </w:tcPr>
          <w:p w14:paraId="55AA1169" w14:textId="77777777" w:rsidR="00161D1B" w:rsidRPr="00161D1B" w:rsidRDefault="00161D1B" w:rsidP="006717DC">
            <w:pPr>
              <w:rPr>
                <w:sz w:val="16"/>
                <w:szCs w:val="16"/>
              </w:rPr>
            </w:pPr>
          </w:p>
        </w:tc>
        <w:tc>
          <w:tcPr>
            <w:tcW w:w="4275" w:type="dxa"/>
            <w:tcBorders>
              <w:top w:val="single" w:sz="4" w:space="0" w:color="BBCFE0"/>
              <w:left w:val="single" w:sz="4" w:space="0" w:color="BBCFE0"/>
              <w:bottom w:val="single" w:sz="4" w:space="0" w:color="BBCFE0"/>
              <w:right w:val="single" w:sz="4" w:space="0" w:color="BBCFE0"/>
            </w:tcBorders>
            <w:shd w:val="clear" w:color="auto" w:fill="EAF1F8"/>
            <w:tcMar>
              <w:top w:w="80" w:type="dxa"/>
              <w:left w:w="120" w:type="dxa"/>
              <w:bottom w:w="80" w:type="dxa"/>
              <w:right w:w="120" w:type="dxa"/>
            </w:tcMar>
          </w:tcPr>
          <w:p w14:paraId="786AD437" w14:textId="77777777" w:rsidR="00161D1B" w:rsidRPr="00161D1B" w:rsidRDefault="00161D1B" w:rsidP="006717DC">
            <w:pPr>
              <w:rPr>
                <w:sz w:val="16"/>
                <w:szCs w:val="16"/>
              </w:rPr>
            </w:pPr>
            <w:r>
              <w:rPr>
                <w:sz w:val="16"/>
                <w:szCs w:val="16"/>
              </w:rPr>
              <w:t>Conformity certification</w:t>
            </w:r>
          </w:p>
        </w:tc>
        <w:tc>
          <w:tcPr>
            <w:tcW w:w="2551" w:type="dxa"/>
            <w:tcBorders>
              <w:top w:val="single" w:sz="4" w:space="0" w:color="BBCFE0"/>
              <w:left w:val="single" w:sz="4" w:space="0" w:color="BBCFE0"/>
              <w:bottom w:val="single" w:sz="4" w:space="0" w:color="BBCFE0"/>
              <w:right w:val="single" w:sz="4" w:space="0" w:color="BBCFE0"/>
            </w:tcBorders>
            <w:shd w:val="clear" w:color="auto" w:fill="EAF1F8"/>
            <w:tcMar>
              <w:top w:w="80" w:type="dxa"/>
              <w:left w:w="120" w:type="dxa"/>
              <w:bottom w:w="80" w:type="dxa"/>
              <w:right w:w="120" w:type="dxa"/>
            </w:tcMar>
          </w:tcPr>
          <w:p w14:paraId="355C317A" w14:textId="77777777" w:rsidR="00161D1B" w:rsidRPr="00161D1B" w:rsidRDefault="00161D1B" w:rsidP="006717DC">
            <w:pPr>
              <w:rPr>
                <w:sz w:val="16"/>
                <w:szCs w:val="16"/>
              </w:rPr>
            </w:pPr>
            <w:r>
              <w:rPr>
                <w:sz w:val="16"/>
                <w:szCs w:val="16"/>
              </w:rPr>
              <w:t>Batch</w:t>
            </w:r>
          </w:p>
        </w:tc>
      </w:tr>
      <w:tr w:rsidR="00161D1B" w:rsidRPr="00161D1B" w14:paraId="0042A996" w14:textId="77777777" w:rsidTr="003B10E2">
        <w:tblPrEx>
          <w:tblCellMar>
            <w:top w:w="0" w:type="dxa"/>
            <w:bottom w:w="0" w:type="dxa"/>
          </w:tblCellMar>
        </w:tblPrEx>
        <w:trPr>
          <w:trHeight w:val="20"/>
        </w:trPr>
        <w:tc>
          <w:tcPr>
            <w:tcW w:w="2200" w:type="dxa"/>
            <w:vMerge w:val="restart"/>
            <w:tcBorders>
              <w:top w:val="single" w:sz="4" w:space="0" w:color="BBCFE0"/>
              <w:left w:val="single" w:sz="4" w:space="0" w:color="BBCFE0"/>
              <w:bottom w:val="single" w:sz="4" w:space="0" w:color="BBCFE0"/>
              <w:right w:val="single" w:sz="4" w:space="0" w:color="BBCFE0"/>
            </w:tcBorders>
            <w:shd w:val="clear" w:color="auto" w:fill="D2E3F0"/>
            <w:tcMar>
              <w:top w:w="80" w:type="dxa"/>
              <w:left w:w="120" w:type="dxa"/>
              <w:bottom w:w="80" w:type="dxa"/>
              <w:right w:w="120" w:type="dxa"/>
            </w:tcMar>
            <w:vAlign w:val="center"/>
          </w:tcPr>
          <w:p w14:paraId="7FC3CE81" w14:textId="77777777" w:rsidR="00161D1B" w:rsidRPr="00161D1B" w:rsidRDefault="00161D1B" w:rsidP="006717DC">
            <w:pPr>
              <w:rPr>
                <w:sz w:val="16"/>
                <w:szCs w:val="16"/>
              </w:rPr>
            </w:pPr>
            <w:r>
              <w:rPr>
                <w:b/>
                <w:bCs/>
                <w:color w:val="1F4E79"/>
                <w:sz w:val="16"/>
                <w:szCs w:val="16"/>
              </w:rPr>
              <w:t>Product Information — Other EU law</w:t>
            </w:r>
          </w:p>
        </w:tc>
        <w:tc>
          <w:tcPr>
            <w:tcW w:w="4275" w:type="dxa"/>
            <w:tcBorders>
              <w:top w:val="single" w:sz="4" w:space="0" w:color="BBCFE0"/>
              <w:left w:val="single" w:sz="4" w:space="0" w:color="BBCFE0"/>
              <w:bottom w:val="single" w:sz="4" w:space="0" w:color="BBCFE0"/>
              <w:right w:val="single" w:sz="4" w:space="0" w:color="BBCFE0"/>
            </w:tcBorders>
            <w:shd w:val="clear" w:color="auto" w:fill="FFFFFF"/>
            <w:tcMar>
              <w:top w:w="80" w:type="dxa"/>
              <w:left w:w="120" w:type="dxa"/>
              <w:bottom w:w="80" w:type="dxa"/>
              <w:right w:w="120" w:type="dxa"/>
            </w:tcMar>
          </w:tcPr>
          <w:p w14:paraId="15D6157D" w14:textId="77777777" w:rsidR="00161D1B" w:rsidRPr="00161D1B" w:rsidRDefault="00161D1B" w:rsidP="006717DC">
            <w:pPr>
              <w:rPr>
                <w:sz w:val="16"/>
                <w:szCs w:val="16"/>
              </w:rPr>
            </w:pPr>
            <w:r>
              <w:rPr>
                <w:sz w:val="16"/>
                <w:szCs w:val="16"/>
              </w:rPr>
              <w:t>Organic content (%) *</w:t>
            </w:r>
          </w:p>
        </w:tc>
        <w:tc>
          <w:tcPr>
            <w:tcW w:w="2551" w:type="dxa"/>
            <w:tcBorders>
              <w:top w:val="single" w:sz="4" w:space="0" w:color="BBCFE0"/>
              <w:left w:val="single" w:sz="4" w:space="0" w:color="BBCFE0"/>
              <w:bottom w:val="single" w:sz="4" w:space="0" w:color="BBCFE0"/>
              <w:right w:val="single" w:sz="4" w:space="0" w:color="BBCFE0"/>
            </w:tcBorders>
            <w:shd w:val="clear" w:color="auto" w:fill="FFFFFF"/>
            <w:tcMar>
              <w:top w:w="80" w:type="dxa"/>
              <w:left w:w="120" w:type="dxa"/>
              <w:bottom w:w="80" w:type="dxa"/>
              <w:right w:w="120" w:type="dxa"/>
            </w:tcMar>
          </w:tcPr>
          <w:p w14:paraId="5103222B" w14:textId="77777777" w:rsidR="00161D1B" w:rsidRPr="00161D1B" w:rsidRDefault="00161D1B" w:rsidP="006717DC">
            <w:pPr>
              <w:rPr>
                <w:sz w:val="16"/>
                <w:szCs w:val="16"/>
              </w:rPr>
            </w:pPr>
            <w:r>
              <w:rPr>
                <w:sz w:val="16"/>
                <w:szCs w:val="16"/>
              </w:rPr>
              <w:t>Model</w:t>
            </w:r>
          </w:p>
        </w:tc>
      </w:tr>
      <w:tr w:rsidR="00161D1B" w:rsidRPr="00161D1B" w14:paraId="0FC5528D" w14:textId="77777777" w:rsidTr="003B10E2">
        <w:tblPrEx>
          <w:tblCellMar>
            <w:top w:w="0" w:type="dxa"/>
            <w:bottom w:w="0" w:type="dxa"/>
          </w:tblCellMar>
        </w:tblPrEx>
        <w:trPr>
          <w:trHeight w:val="20"/>
        </w:trPr>
        <w:tc>
          <w:tcPr>
            <w:tcW w:w="0" w:type="auto"/>
            <w:vMerge/>
            <w:tcBorders>
              <w:top w:val="single" w:sz="4" w:space="0" w:color="BBCFE0"/>
              <w:left w:val="single" w:sz="4" w:space="0" w:color="BBCFE0"/>
              <w:bottom w:val="single" w:sz="4" w:space="0" w:color="BBCFE0"/>
              <w:right w:val="single" w:sz="4" w:space="0" w:color="BBCFE0"/>
            </w:tcBorders>
          </w:tcPr>
          <w:p w14:paraId="18708A6E" w14:textId="77777777" w:rsidR="00161D1B" w:rsidRPr="00161D1B" w:rsidRDefault="00161D1B" w:rsidP="006717DC">
            <w:pPr>
              <w:rPr>
                <w:sz w:val="16"/>
                <w:szCs w:val="16"/>
              </w:rPr>
            </w:pPr>
          </w:p>
        </w:tc>
        <w:tc>
          <w:tcPr>
            <w:tcW w:w="4275" w:type="dxa"/>
            <w:tcBorders>
              <w:top w:val="single" w:sz="4" w:space="0" w:color="BBCFE0"/>
              <w:left w:val="single" w:sz="4" w:space="0" w:color="BBCFE0"/>
              <w:bottom w:val="single" w:sz="4" w:space="0" w:color="BBCFE0"/>
              <w:right w:val="single" w:sz="4" w:space="0" w:color="BBCFE0"/>
            </w:tcBorders>
            <w:shd w:val="clear" w:color="auto" w:fill="EAF1F8"/>
            <w:tcMar>
              <w:top w:w="80" w:type="dxa"/>
              <w:left w:w="120" w:type="dxa"/>
              <w:bottom w:w="80" w:type="dxa"/>
              <w:right w:w="120" w:type="dxa"/>
            </w:tcMar>
          </w:tcPr>
          <w:p w14:paraId="307B5483" w14:textId="77777777" w:rsidR="00161D1B" w:rsidRPr="00161D1B" w:rsidRDefault="00161D1B" w:rsidP="006717DC">
            <w:pPr>
              <w:rPr>
                <w:sz w:val="16"/>
                <w:szCs w:val="16"/>
              </w:rPr>
            </w:pPr>
            <w:r>
              <w:rPr>
                <w:sz w:val="16"/>
                <w:szCs w:val="16"/>
              </w:rPr>
              <w:t>Amount of organic material *</w:t>
            </w:r>
          </w:p>
        </w:tc>
        <w:tc>
          <w:tcPr>
            <w:tcW w:w="2551" w:type="dxa"/>
            <w:tcBorders>
              <w:top w:val="single" w:sz="4" w:space="0" w:color="BBCFE0"/>
              <w:left w:val="single" w:sz="4" w:space="0" w:color="BBCFE0"/>
              <w:bottom w:val="single" w:sz="4" w:space="0" w:color="BBCFE0"/>
              <w:right w:val="single" w:sz="4" w:space="0" w:color="BBCFE0"/>
            </w:tcBorders>
            <w:shd w:val="clear" w:color="auto" w:fill="EAF1F8"/>
            <w:tcMar>
              <w:top w:w="80" w:type="dxa"/>
              <w:left w:w="120" w:type="dxa"/>
              <w:bottom w:w="80" w:type="dxa"/>
              <w:right w:w="120" w:type="dxa"/>
            </w:tcMar>
          </w:tcPr>
          <w:p w14:paraId="0665F06E" w14:textId="77777777" w:rsidR="00161D1B" w:rsidRPr="00161D1B" w:rsidRDefault="00161D1B" w:rsidP="006717DC">
            <w:pPr>
              <w:rPr>
                <w:sz w:val="16"/>
                <w:szCs w:val="16"/>
              </w:rPr>
            </w:pPr>
            <w:r>
              <w:rPr>
                <w:sz w:val="16"/>
                <w:szCs w:val="16"/>
              </w:rPr>
              <w:t>Model</w:t>
            </w:r>
          </w:p>
        </w:tc>
      </w:tr>
      <w:tr w:rsidR="00161D1B" w:rsidRPr="00161D1B" w14:paraId="1BCC95AC" w14:textId="77777777" w:rsidTr="003B10E2">
        <w:tblPrEx>
          <w:tblCellMar>
            <w:top w:w="0" w:type="dxa"/>
            <w:bottom w:w="0" w:type="dxa"/>
          </w:tblCellMar>
        </w:tblPrEx>
        <w:trPr>
          <w:trHeight w:val="20"/>
        </w:trPr>
        <w:tc>
          <w:tcPr>
            <w:tcW w:w="0" w:type="auto"/>
            <w:vMerge/>
            <w:tcBorders>
              <w:top w:val="single" w:sz="4" w:space="0" w:color="BBCFE0"/>
              <w:left w:val="single" w:sz="4" w:space="0" w:color="BBCFE0"/>
              <w:bottom w:val="single" w:sz="4" w:space="0" w:color="BBCFE0"/>
              <w:right w:val="single" w:sz="4" w:space="0" w:color="BBCFE0"/>
            </w:tcBorders>
          </w:tcPr>
          <w:p w14:paraId="1FFCB39B" w14:textId="77777777" w:rsidR="00161D1B" w:rsidRPr="00161D1B" w:rsidRDefault="00161D1B" w:rsidP="006717DC">
            <w:pPr>
              <w:rPr>
                <w:sz w:val="16"/>
                <w:szCs w:val="16"/>
              </w:rPr>
            </w:pPr>
          </w:p>
        </w:tc>
        <w:tc>
          <w:tcPr>
            <w:tcW w:w="4275" w:type="dxa"/>
            <w:tcBorders>
              <w:top w:val="single" w:sz="4" w:space="0" w:color="BBCFE0"/>
              <w:left w:val="single" w:sz="4" w:space="0" w:color="BBCFE0"/>
              <w:bottom w:val="single" w:sz="4" w:space="0" w:color="BBCFE0"/>
              <w:right w:val="single" w:sz="4" w:space="0" w:color="BBCFE0"/>
            </w:tcBorders>
            <w:shd w:val="clear" w:color="auto" w:fill="FFFFFF"/>
            <w:tcMar>
              <w:top w:w="80" w:type="dxa"/>
              <w:left w:w="120" w:type="dxa"/>
              <w:bottom w:w="80" w:type="dxa"/>
              <w:right w:w="120" w:type="dxa"/>
            </w:tcMar>
          </w:tcPr>
          <w:p w14:paraId="3C83069E" w14:textId="77777777" w:rsidR="00161D1B" w:rsidRPr="00161D1B" w:rsidRDefault="00161D1B" w:rsidP="006717DC">
            <w:pPr>
              <w:rPr>
                <w:sz w:val="16"/>
                <w:szCs w:val="16"/>
              </w:rPr>
            </w:pPr>
            <w:r>
              <w:rPr>
                <w:sz w:val="16"/>
                <w:szCs w:val="16"/>
              </w:rPr>
              <w:t>Conformity certification *</w:t>
            </w:r>
          </w:p>
        </w:tc>
        <w:tc>
          <w:tcPr>
            <w:tcW w:w="2551" w:type="dxa"/>
            <w:tcBorders>
              <w:top w:val="single" w:sz="4" w:space="0" w:color="BBCFE0"/>
              <w:left w:val="single" w:sz="4" w:space="0" w:color="BBCFE0"/>
              <w:bottom w:val="single" w:sz="4" w:space="0" w:color="BBCFE0"/>
              <w:right w:val="single" w:sz="4" w:space="0" w:color="BBCFE0"/>
            </w:tcBorders>
            <w:shd w:val="clear" w:color="auto" w:fill="FFFFFF"/>
            <w:tcMar>
              <w:top w:w="80" w:type="dxa"/>
              <w:left w:w="120" w:type="dxa"/>
              <w:bottom w:w="80" w:type="dxa"/>
              <w:right w:w="120" w:type="dxa"/>
            </w:tcMar>
          </w:tcPr>
          <w:p w14:paraId="09A1B5EA" w14:textId="77777777" w:rsidR="00161D1B" w:rsidRPr="00161D1B" w:rsidRDefault="00161D1B" w:rsidP="006717DC">
            <w:pPr>
              <w:rPr>
                <w:sz w:val="16"/>
                <w:szCs w:val="16"/>
              </w:rPr>
            </w:pPr>
            <w:r>
              <w:rPr>
                <w:sz w:val="16"/>
                <w:szCs w:val="16"/>
              </w:rPr>
              <w:t>Batch</w:t>
            </w:r>
          </w:p>
        </w:tc>
      </w:tr>
      <w:tr w:rsidR="00161D1B" w:rsidRPr="00161D1B" w14:paraId="4137E4A3" w14:textId="77777777" w:rsidTr="003B10E2">
        <w:tblPrEx>
          <w:tblCellMar>
            <w:top w:w="0" w:type="dxa"/>
            <w:bottom w:w="0" w:type="dxa"/>
          </w:tblCellMar>
        </w:tblPrEx>
        <w:trPr>
          <w:trHeight w:val="20"/>
        </w:trPr>
        <w:tc>
          <w:tcPr>
            <w:tcW w:w="0" w:type="auto"/>
            <w:vMerge/>
            <w:tcBorders>
              <w:top w:val="single" w:sz="4" w:space="0" w:color="BBCFE0"/>
              <w:left w:val="single" w:sz="4" w:space="0" w:color="BBCFE0"/>
              <w:bottom w:val="single" w:sz="4" w:space="0" w:color="BBCFE0"/>
              <w:right w:val="single" w:sz="4" w:space="0" w:color="BBCFE0"/>
            </w:tcBorders>
          </w:tcPr>
          <w:p w14:paraId="12969BCA" w14:textId="77777777" w:rsidR="00161D1B" w:rsidRPr="00161D1B" w:rsidRDefault="00161D1B" w:rsidP="006717DC">
            <w:pPr>
              <w:rPr>
                <w:sz w:val="16"/>
                <w:szCs w:val="16"/>
              </w:rPr>
            </w:pPr>
          </w:p>
        </w:tc>
        <w:tc>
          <w:tcPr>
            <w:tcW w:w="4275" w:type="dxa"/>
            <w:tcBorders>
              <w:top w:val="single" w:sz="4" w:space="0" w:color="BBCFE0"/>
              <w:left w:val="single" w:sz="4" w:space="0" w:color="BBCFE0"/>
              <w:bottom w:val="single" w:sz="4" w:space="0" w:color="BBCFE0"/>
              <w:right w:val="single" w:sz="4" w:space="0" w:color="BBCFE0"/>
            </w:tcBorders>
            <w:shd w:val="clear" w:color="auto" w:fill="EAF1F8"/>
            <w:tcMar>
              <w:top w:w="80" w:type="dxa"/>
              <w:left w:w="120" w:type="dxa"/>
              <w:bottom w:w="80" w:type="dxa"/>
              <w:right w:w="120" w:type="dxa"/>
            </w:tcMar>
          </w:tcPr>
          <w:p w14:paraId="36E33F9E" w14:textId="77777777" w:rsidR="00161D1B" w:rsidRPr="00161D1B" w:rsidRDefault="00161D1B" w:rsidP="006717DC">
            <w:pPr>
              <w:rPr>
                <w:sz w:val="16"/>
                <w:szCs w:val="16"/>
              </w:rPr>
            </w:pPr>
            <w:r>
              <w:rPr>
                <w:sz w:val="16"/>
                <w:szCs w:val="16"/>
              </w:rPr>
              <w:t>EU Ecolabel *</w:t>
            </w:r>
          </w:p>
        </w:tc>
        <w:tc>
          <w:tcPr>
            <w:tcW w:w="2551" w:type="dxa"/>
            <w:tcBorders>
              <w:top w:val="single" w:sz="4" w:space="0" w:color="BBCFE0"/>
              <w:left w:val="single" w:sz="4" w:space="0" w:color="BBCFE0"/>
              <w:bottom w:val="single" w:sz="4" w:space="0" w:color="BBCFE0"/>
              <w:right w:val="single" w:sz="4" w:space="0" w:color="BBCFE0"/>
            </w:tcBorders>
            <w:shd w:val="clear" w:color="auto" w:fill="EAF1F8"/>
            <w:tcMar>
              <w:top w:w="80" w:type="dxa"/>
              <w:left w:w="120" w:type="dxa"/>
              <w:bottom w:w="80" w:type="dxa"/>
              <w:right w:w="120" w:type="dxa"/>
            </w:tcMar>
          </w:tcPr>
          <w:p w14:paraId="470C62D2" w14:textId="77777777" w:rsidR="00161D1B" w:rsidRPr="00161D1B" w:rsidRDefault="00161D1B" w:rsidP="006717DC">
            <w:pPr>
              <w:rPr>
                <w:sz w:val="16"/>
                <w:szCs w:val="16"/>
              </w:rPr>
            </w:pPr>
            <w:r>
              <w:rPr>
                <w:sz w:val="16"/>
                <w:szCs w:val="16"/>
              </w:rPr>
              <w:t>Model</w:t>
            </w:r>
          </w:p>
        </w:tc>
      </w:tr>
      <w:tr w:rsidR="00161D1B" w:rsidRPr="00161D1B" w14:paraId="74C93BBD" w14:textId="77777777" w:rsidTr="003B10E2">
        <w:tblPrEx>
          <w:tblCellMar>
            <w:top w:w="0" w:type="dxa"/>
            <w:bottom w:w="0" w:type="dxa"/>
          </w:tblCellMar>
        </w:tblPrEx>
        <w:trPr>
          <w:trHeight w:val="20"/>
        </w:trPr>
        <w:tc>
          <w:tcPr>
            <w:tcW w:w="2200" w:type="dxa"/>
            <w:vMerge w:val="restart"/>
            <w:tcBorders>
              <w:top w:val="single" w:sz="4" w:space="0" w:color="BBCFE0"/>
              <w:left w:val="single" w:sz="4" w:space="0" w:color="BBCFE0"/>
              <w:bottom w:val="single" w:sz="4" w:space="0" w:color="BBCFE0"/>
              <w:right w:val="single" w:sz="4" w:space="0" w:color="BBCFE0"/>
            </w:tcBorders>
            <w:shd w:val="clear" w:color="auto" w:fill="D2E3F0"/>
            <w:tcMar>
              <w:top w:w="80" w:type="dxa"/>
              <w:left w:w="120" w:type="dxa"/>
              <w:bottom w:w="80" w:type="dxa"/>
              <w:right w:w="120" w:type="dxa"/>
            </w:tcMar>
            <w:vAlign w:val="center"/>
          </w:tcPr>
          <w:p w14:paraId="184B0C98" w14:textId="77777777" w:rsidR="00161D1B" w:rsidRPr="00161D1B" w:rsidRDefault="00161D1B" w:rsidP="006717DC">
            <w:pPr>
              <w:rPr>
                <w:sz w:val="16"/>
                <w:szCs w:val="16"/>
              </w:rPr>
            </w:pPr>
            <w:r>
              <w:rPr>
                <w:b/>
                <w:bCs/>
                <w:color w:val="1F4E79"/>
                <w:sz w:val="16"/>
                <w:szCs w:val="16"/>
              </w:rPr>
              <w:t>Product Information — Product footprint</w:t>
            </w:r>
          </w:p>
        </w:tc>
        <w:tc>
          <w:tcPr>
            <w:tcW w:w="4275" w:type="dxa"/>
            <w:tcBorders>
              <w:top w:val="single" w:sz="4" w:space="0" w:color="BBCFE0"/>
              <w:left w:val="single" w:sz="4" w:space="0" w:color="BBCFE0"/>
              <w:bottom w:val="single" w:sz="4" w:space="0" w:color="BBCFE0"/>
              <w:right w:val="single" w:sz="4" w:space="0" w:color="BBCFE0"/>
            </w:tcBorders>
            <w:shd w:val="clear" w:color="auto" w:fill="FFFFFF"/>
            <w:tcMar>
              <w:top w:w="80" w:type="dxa"/>
              <w:left w:w="120" w:type="dxa"/>
              <w:bottom w:w="80" w:type="dxa"/>
              <w:right w:w="120" w:type="dxa"/>
            </w:tcMar>
          </w:tcPr>
          <w:p w14:paraId="122EF2B9" w14:textId="77777777" w:rsidR="00161D1B" w:rsidRPr="00161D1B" w:rsidRDefault="00161D1B" w:rsidP="006717DC">
            <w:pPr>
              <w:rPr>
                <w:sz w:val="16"/>
                <w:szCs w:val="16"/>
              </w:rPr>
            </w:pPr>
            <w:r>
              <w:rPr>
                <w:sz w:val="16"/>
                <w:szCs w:val="16"/>
              </w:rPr>
              <w:t>Product carbon/environmental footprint — Class of performance</w:t>
            </w:r>
          </w:p>
        </w:tc>
        <w:tc>
          <w:tcPr>
            <w:tcW w:w="2551" w:type="dxa"/>
            <w:tcBorders>
              <w:top w:val="single" w:sz="4" w:space="0" w:color="BBCFE0"/>
              <w:left w:val="single" w:sz="4" w:space="0" w:color="BBCFE0"/>
              <w:bottom w:val="single" w:sz="4" w:space="0" w:color="BBCFE0"/>
              <w:right w:val="single" w:sz="4" w:space="0" w:color="BBCFE0"/>
            </w:tcBorders>
            <w:shd w:val="clear" w:color="auto" w:fill="FFFFFF"/>
            <w:tcMar>
              <w:top w:w="80" w:type="dxa"/>
              <w:left w:w="120" w:type="dxa"/>
              <w:bottom w:w="80" w:type="dxa"/>
              <w:right w:w="120" w:type="dxa"/>
            </w:tcMar>
          </w:tcPr>
          <w:p w14:paraId="2E224BF8" w14:textId="77777777" w:rsidR="00161D1B" w:rsidRPr="00161D1B" w:rsidRDefault="00161D1B" w:rsidP="006717DC">
            <w:pPr>
              <w:rPr>
                <w:sz w:val="16"/>
                <w:szCs w:val="16"/>
              </w:rPr>
            </w:pPr>
            <w:r>
              <w:rPr>
                <w:sz w:val="16"/>
                <w:szCs w:val="16"/>
              </w:rPr>
              <w:t>Model</w:t>
            </w:r>
          </w:p>
        </w:tc>
      </w:tr>
      <w:tr w:rsidR="00161D1B" w:rsidRPr="00161D1B" w14:paraId="33A15965" w14:textId="77777777" w:rsidTr="003B10E2">
        <w:tblPrEx>
          <w:tblCellMar>
            <w:top w:w="0" w:type="dxa"/>
            <w:bottom w:w="0" w:type="dxa"/>
          </w:tblCellMar>
        </w:tblPrEx>
        <w:trPr>
          <w:trHeight w:val="20"/>
        </w:trPr>
        <w:tc>
          <w:tcPr>
            <w:tcW w:w="0" w:type="auto"/>
            <w:vMerge/>
            <w:tcBorders>
              <w:top w:val="single" w:sz="4" w:space="0" w:color="BBCFE0"/>
              <w:left w:val="single" w:sz="4" w:space="0" w:color="BBCFE0"/>
              <w:bottom w:val="single" w:sz="4" w:space="0" w:color="BBCFE0"/>
              <w:right w:val="single" w:sz="4" w:space="0" w:color="BBCFE0"/>
            </w:tcBorders>
          </w:tcPr>
          <w:p w14:paraId="6705A8E9" w14:textId="77777777" w:rsidR="00161D1B" w:rsidRPr="00161D1B" w:rsidRDefault="00161D1B" w:rsidP="006717DC">
            <w:pPr>
              <w:rPr>
                <w:sz w:val="16"/>
                <w:szCs w:val="16"/>
              </w:rPr>
            </w:pPr>
          </w:p>
        </w:tc>
        <w:tc>
          <w:tcPr>
            <w:tcW w:w="4275" w:type="dxa"/>
            <w:tcBorders>
              <w:top w:val="single" w:sz="4" w:space="0" w:color="BBCFE0"/>
              <w:left w:val="single" w:sz="4" w:space="0" w:color="BBCFE0"/>
              <w:bottom w:val="single" w:sz="4" w:space="0" w:color="BBCFE0"/>
              <w:right w:val="single" w:sz="4" w:space="0" w:color="BBCFE0"/>
            </w:tcBorders>
            <w:shd w:val="clear" w:color="auto" w:fill="EAF1F8"/>
            <w:tcMar>
              <w:top w:w="80" w:type="dxa"/>
              <w:left w:w="120" w:type="dxa"/>
              <w:bottom w:w="80" w:type="dxa"/>
              <w:right w:w="120" w:type="dxa"/>
            </w:tcMar>
          </w:tcPr>
          <w:p w14:paraId="5F2DD805" w14:textId="77777777" w:rsidR="00161D1B" w:rsidRPr="00161D1B" w:rsidRDefault="00161D1B" w:rsidP="006717DC">
            <w:pPr>
              <w:rPr>
                <w:sz w:val="16"/>
                <w:szCs w:val="16"/>
              </w:rPr>
            </w:pPr>
            <w:r>
              <w:rPr>
                <w:sz w:val="16"/>
                <w:szCs w:val="16"/>
              </w:rPr>
              <w:t>Product carbon/environmental footprint — Absolute value</w:t>
            </w:r>
          </w:p>
        </w:tc>
        <w:tc>
          <w:tcPr>
            <w:tcW w:w="2551" w:type="dxa"/>
            <w:tcBorders>
              <w:top w:val="single" w:sz="4" w:space="0" w:color="BBCFE0"/>
              <w:left w:val="single" w:sz="4" w:space="0" w:color="BBCFE0"/>
              <w:bottom w:val="single" w:sz="4" w:space="0" w:color="BBCFE0"/>
              <w:right w:val="single" w:sz="4" w:space="0" w:color="BBCFE0"/>
            </w:tcBorders>
            <w:shd w:val="clear" w:color="auto" w:fill="EAF1F8"/>
            <w:tcMar>
              <w:top w:w="80" w:type="dxa"/>
              <w:left w:w="120" w:type="dxa"/>
              <w:bottom w:w="80" w:type="dxa"/>
              <w:right w:w="120" w:type="dxa"/>
            </w:tcMar>
          </w:tcPr>
          <w:p w14:paraId="7CC52ECD" w14:textId="77777777" w:rsidR="00161D1B" w:rsidRPr="00161D1B" w:rsidRDefault="00161D1B" w:rsidP="006717DC">
            <w:pPr>
              <w:rPr>
                <w:sz w:val="16"/>
                <w:szCs w:val="16"/>
              </w:rPr>
            </w:pPr>
            <w:r>
              <w:rPr>
                <w:sz w:val="16"/>
                <w:szCs w:val="16"/>
              </w:rPr>
              <w:t>Model</w:t>
            </w:r>
          </w:p>
        </w:tc>
      </w:tr>
      <w:tr w:rsidR="00161D1B" w:rsidRPr="00161D1B" w14:paraId="47A4A858" w14:textId="77777777" w:rsidTr="003B10E2">
        <w:tblPrEx>
          <w:tblCellMar>
            <w:top w:w="0" w:type="dxa"/>
            <w:bottom w:w="0" w:type="dxa"/>
          </w:tblCellMar>
        </w:tblPrEx>
        <w:trPr>
          <w:trHeight w:val="20"/>
        </w:trPr>
        <w:tc>
          <w:tcPr>
            <w:tcW w:w="0" w:type="auto"/>
            <w:vMerge/>
            <w:tcBorders>
              <w:top w:val="single" w:sz="4" w:space="0" w:color="BBCFE0"/>
              <w:left w:val="single" w:sz="4" w:space="0" w:color="BBCFE0"/>
              <w:bottom w:val="single" w:sz="4" w:space="0" w:color="BBCFE0"/>
              <w:right w:val="single" w:sz="4" w:space="0" w:color="BBCFE0"/>
            </w:tcBorders>
          </w:tcPr>
          <w:p w14:paraId="4FEF5953" w14:textId="77777777" w:rsidR="00161D1B" w:rsidRPr="00161D1B" w:rsidRDefault="00161D1B" w:rsidP="006717DC">
            <w:pPr>
              <w:rPr>
                <w:sz w:val="16"/>
                <w:szCs w:val="16"/>
              </w:rPr>
            </w:pPr>
          </w:p>
        </w:tc>
        <w:tc>
          <w:tcPr>
            <w:tcW w:w="4275" w:type="dxa"/>
            <w:tcBorders>
              <w:top w:val="single" w:sz="4" w:space="0" w:color="BBCFE0"/>
              <w:left w:val="single" w:sz="4" w:space="0" w:color="BBCFE0"/>
              <w:bottom w:val="single" w:sz="4" w:space="0" w:color="BBCFE0"/>
              <w:right w:val="single" w:sz="4" w:space="0" w:color="BBCFE0"/>
            </w:tcBorders>
            <w:shd w:val="clear" w:color="auto" w:fill="FFFFFF"/>
            <w:tcMar>
              <w:top w:w="80" w:type="dxa"/>
              <w:left w:w="120" w:type="dxa"/>
              <w:bottom w:w="80" w:type="dxa"/>
              <w:right w:w="120" w:type="dxa"/>
            </w:tcMar>
          </w:tcPr>
          <w:p w14:paraId="2C4292A1" w14:textId="77777777" w:rsidR="00161D1B" w:rsidRPr="00161D1B" w:rsidRDefault="00161D1B" w:rsidP="006717DC">
            <w:pPr>
              <w:rPr>
                <w:sz w:val="16"/>
                <w:szCs w:val="16"/>
              </w:rPr>
            </w:pPr>
            <w:r>
              <w:rPr>
                <w:sz w:val="16"/>
                <w:szCs w:val="16"/>
              </w:rPr>
              <w:t>Carbon footprint calculation parameters</w:t>
            </w:r>
          </w:p>
        </w:tc>
        <w:tc>
          <w:tcPr>
            <w:tcW w:w="2551" w:type="dxa"/>
            <w:tcBorders>
              <w:top w:val="single" w:sz="4" w:space="0" w:color="BBCFE0"/>
              <w:left w:val="single" w:sz="4" w:space="0" w:color="BBCFE0"/>
              <w:bottom w:val="single" w:sz="4" w:space="0" w:color="BBCFE0"/>
              <w:right w:val="single" w:sz="4" w:space="0" w:color="BBCFE0"/>
            </w:tcBorders>
            <w:shd w:val="clear" w:color="auto" w:fill="FFFFFF"/>
            <w:tcMar>
              <w:top w:w="80" w:type="dxa"/>
              <w:left w:w="120" w:type="dxa"/>
              <w:bottom w:w="80" w:type="dxa"/>
              <w:right w:w="120" w:type="dxa"/>
            </w:tcMar>
          </w:tcPr>
          <w:p w14:paraId="10FFFD4A" w14:textId="77777777" w:rsidR="00161D1B" w:rsidRPr="00161D1B" w:rsidRDefault="00161D1B" w:rsidP="006717DC">
            <w:pPr>
              <w:rPr>
                <w:sz w:val="16"/>
                <w:szCs w:val="16"/>
              </w:rPr>
            </w:pPr>
            <w:r>
              <w:rPr>
                <w:sz w:val="16"/>
                <w:szCs w:val="16"/>
              </w:rPr>
              <w:t>Model</w:t>
            </w:r>
          </w:p>
        </w:tc>
      </w:tr>
      <w:tr w:rsidR="00161D1B" w:rsidRPr="00161D1B" w14:paraId="4D1915A4" w14:textId="77777777" w:rsidTr="003B10E2">
        <w:tblPrEx>
          <w:tblCellMar>
            <w:top w:w="0" w:type="dxa"/>
            <w:bottom w:w="0" w:type="dxa"/>
          </w:tblCellMar>
        </w:tblPrEx>
        <w:trPr>
          <w:trHeight w:val="20"/>
        </w:trPr>
        <w:tc>
          <w:tcPr>
            <w:tcW w:w="0" w:type="auto"/>
            <w:vMerge/>
            <w:tcBorders>
              <w:top w:val="single" w:sz="4" w:space="0" w:color="BBCFE0"/>
              <w:left w:val="single" w:sz="4" w:space="0" w:color="BBCFE0"/>
              <w:bottom w:val="single" w:sz="4" w:space="0" w:color="BBCFE0"/>
              <w:right w:val="single" w:sz="4" w:space="0" w:color="BBCFE0"/>
            </w:tcBorders>
          </w:tcPr>
          <w:p w14:paraId="12DB151C" w14:textId="77777777" w:rsidR="00161D1B" w:rsidRPr="00161D1B" w:rsidRDefault="00161D1B" w:rsidP="006717DC">
            <w:pPr>
              <w:rPr>
                <w:sz w:val="16"/>
                <w:szCs w:val="16"/>
              </w:rPr>
            </w:pPr>
          </w:p>
        </w:tc>
        <w:tc>
          <w:tcPr>
            <w:tcW w:w="4275" w:type="dxa"/>
            <w:tcBorders>
              <w:top w:val="single" w:sz="4" w:space="0" w:color="BBCFE0"/>
              <w:left w:val="single" w:sz="4" w:space="0" w:color="BBCFE0"/>
              <w:bottom w:val="single" w:sz="4" w:space="0" w:color="BBCFE0"/>
              <w:right w:val="single" w:sz="4" w:space="0" w:color="BBCFE0"/>
            </w:tcBorders>
            <w:shd w:val="clear" w:color="auto" w:fill="EAF1F8"/>
            <w:tcMar>
              <w:top w:w="80" w:type="dxa"/>
              <w:left w:w="120" w:type="dxa"/>
              <w:bottom w:w="80" w:type="dxa"/>
              <w:right w:w="120" w:type="dxa"/>
            </w:tcMar>
          </w:tcPr>
          <w:p w14:paraId="79C57E2D" w14:textId="77777777" w:rsidR="00161D1B" w:rsidRPr="00161D1B" w:rsidRDefault="00161D1B" w:rsidP="006717DC">
            <w:pPr>
              <w:rPr>
                <w:sz w:val="16"/>
                <w:szCs w:val="16"/>
              </w:rPr>
            </w:pPr>
            <w:r>
              <w:rPr>
                <w:sz w:val="16"/>
                <w:szCs w:val="16"/>
              </w:rPr>
              <w:t>Weight</w:t>
            </w:r>
          </w:p>
        </w:tc>
        <w:tc>
          <w:tcPr>
            <w:tcW w:w="2551" w:type="dxa"/>
            <w:tcBorders>
              <w:top w:val="single" w:sz="4" w:space="0" w:color="BBCFE0"/>
              <w:left w:val="single" w:sz="4" w:space="0" w:color="BBCFE0"/>
              <w:bottom w:val="single" w:sz="4" w:space="0" w:color="BBCFE0"/>
              <w:right w:val="single" w:sz="4" w:space="0" w:color="BBCFE0"/>
            </w:tcBorders>
            <w:shd w:val="clear" w:color="auto" w:fill="EAF1F8"/>
            <w:tcMar>
              <w:top w:w="80" w:type="dxa"/>
              <w:left w:w="120" w:type="dxa"/>
              <w:bottom w:w="80" w:type="dxa"/>
              <w:right w:w="120" w:type="dxa"/>
            </w:tcMar>
          </w:tcPr>
          <w:p w14:paraId="28868E98" w14:textId="77777777" w:rsidR="00161D1B" w:rsidRPr="00161D1B" w:rsidRDefault="00161D1B" w:rsidP="006717DC">
            <w:pPr>
              <w:rPr>
                <w:sz w:val="16"/>
                <w:szCs w:val="16"/>
              </w:rPr>
            </w:pPr>
            <w:r>
              <w:rPr>
                <w:sz w:val="16"/>
                <w:szCs w:val="16"/>
              </w:rPr>
              <w:t>Model</w:t>
            </w:r>
          </w:p>
        </w:tc>
      </w:tr>
      <w:tr w:rsidR="00161D1B" w:rsidRPr="00161D1B" w14:paraId="7C3A145E" w14:textId="77777777" w:rsidTr="003B10E2">
        <w:tblPrEx>
          <w:tblCellMar>
            <w:top w:w="0" w:type="dxa"/>
            <w:bottom w:w="0" w:type="dxa"/>
          </w:tblCellMar>
        </w:tblPrEx>
        <w:trPr>
          <w:trHeight w:val="20"/>
        </w:trPr>
        <w:tc>
          <w:tcPr>
            <w:tcW w:w="0" w:type="auto"/>
            <w:vMerge/>
            <w:tcBorders>
              <w:top w:val="single" w:sz="4" w:space="0" w:color="BBCFE0"/>
              <w:left w:val="single" w:sz="4" w:space="0" w:color="BBCFE0"/>
              <w:bottom w:val="single" w:sz="4" w:space="0" w:color="BBCFE0"/>
              <w:right w:val="single" w:sz="4" w:space="0" w:color="BBCFE0"/>
            </w:tcBorders>
          </w:tcPr>
          <w:p w14:paraId="566005CD" w14:textId="77777777" w:rsidR="00161D1B" w:rsidRPr="00161D1B" w:rsidRDefault="00161D1B" w:rsidP="006717DC">
            <w:pPr>
              <w:rPr>
                <w:sz w:val="16"/>
                <w:szCs w:val="16"/>
              </w:rPr>
            </w:pPr>
          </w:p>
        </w:tc>
        <w:tc>
          <w:tcPr>
            <w:tcW w:w="4275" w:type="dxa"/>
            <w:tcBorders>
              <w:top w:val="single" w:sz="4" w:space="0" w:color="BBCFE0"/>
              <w:left w:val="single" w:sz="4" w:space="0" w:color="BBCFE0"/>
              <w:bottom w:val="single" w:sz="4" w:space="0" w:color="BBCFE0"/>
              <w:right w:val="single" w:sz="4" w:space="0" w:color="BBCFE0"/>
            </w:tcBorders>
            <w:shd w:val="clear" w:color="auto" w:fill="FFFFFF"/>
            <w:tcMar>
              <w:top w:w="80" w:type="dxa"/>
              <w:left w:w="120" w:type="dxa"/>
              <w:bottom w:w="80" w:type="dxa"/>
              <w:right w:w="120" w:type="dxa"/>
            </w:tcMar>
          </w:tcPr>
          <w:p w14:paraId="3CCB5F6A" w14:textId="77777777" w:rsidR="00161D1B" w:rsidRPr="00161D1B" w:rsidRDefault="00161D1B" w:rsidP="006717DC">
            <w:pPr>
              <w:rPr>
                <w:sz w:val="16"/>
                <w:szCs w:val="16"/>
              </w:rPr>
            </w:pPr>
            <w:r>
              <w:rPr>
                <w:sz w:val="16"/>
                <w:szCs w:val="16"/>
              </w:rPr>
              <w:t>Conformity declaration</w:t>
            </w:r>
          </w:p>
        </w:tc>
        <w:tc>
          <w:tcPr>
            <w:tcW w:w="2551" w:type="dxa"/>
            <w:tcBorders>
              <w:top w:val="single" w:sz="4" w:space="0" w:color="BBCFE0"/>
              <w:left w:val="single" w:sz="4" w:space="0" w:color="BBCFE0"/>
              <w:bottom w:val="single" w:sz="4" w:space="0" w:color="BBCFE0"/>
              <w:right w:val="single" w:sz="4" w:space="0" w:color="BBCFE0"/>
            </w:tcBorders>
            <w:shd w:val="clear" w:color="auto" w:fill="FFFFFF"/>
            <w:tcMar>
              <w:top w:w="80" w:type="dxa"/>
              <w:left w:w="120" w:type="dxa"/>
              <w:bottom w:w="80" w:type="dxa"/>
              <w:right w:w="120" w:type="dxa"/>
            </w:tcMar>
          </w:tcPr>
          <w:p w14:paraId="61184C75" w14:textId="77777777" w:rsidR="00161D1B" w:rsidRPr="00161D1B" w:rsidRDefault="00161D1B" w:rsidP="006717DC">
            <w:pPr>
              <w:rPr>
                <w:sz w:val="16"/>
                <w:szCs w:val="16"/>
              </w:rPr>
            </w:pPr>
            <w:r>
              <w:rPr>
                <w:sz w:val="16"/>
                <w:szCs w:val="16"/>
              </w:rPr>
              <w:t>Model</w:t>
            </w:r>
          </w:p>
        </w:tc>
      </w:tr>
      <w:tr w:rsidR="00161D1B" w:rsidRPr="00161D1B" w14:paraId="34B9B307" w14:textId="77777777" w:rsidTr="003B10E2">
        <w:tblPrEx>
          <w:tblCellMar>
            <w:top w:w="0" w:type="dxa"/>
            <w:bottom w:w="0" w:type="dxa"/>
          </w:tblCellMar>
        </w:tblPrEx>
        <w:trPr>
          <w:trHeight w:val="20"/>
        </w:trPr>
        <w:tc>
          <w:tcPr>
            <w:tcW w:w="0" w:type="auto"/>
            <w:vMerge/>
            <w:tcBorders>
              <w:top w:val="single" w:sz="4" w:space="0" w:color="BBCFE0"/>
              <w:left w:val="single" w:sz="4" w:space="0" w:color="BBCFE0"/>
              <w:bottom w:val="single" w:sz="4" w:space="0" w:color="BBCFE0"/>
              <w:right w:val="single" w:sz="4" w:space="0" w:color="BBCFE0"/>
            </w:tcBorders>
          </w:tcPr>
          <w:p w14:paraId="5B2C619E" w14:textId="77777777" w:rsidR="00161D1B" w:rsidRPr="00161D1B" w:rsidRDefault="00161D1B" w:rsidP="006717DC">
            <w:pPr>
              <w:rPr>
                <w:sz w:val="16"/>
                <w:szCs w:val="16"/>
              </w:rPr>
            </w:pPr>
          </w:p>
        </w:tc>
        <w:tc>
          <w:tcPr>
            <w:tcW w:w="4275" w:type="dxa"/>
            <w:tcBorders>
              <w:top w:val="single" w:sz="4" w:space="0" w:color="BBCFE0"/>
              <w:left w:val="single" w:sz="4" w:space="0" w:color="BBCFE0"/>
              <w:bottom w:val="single" w:sz="4" w:space="0" w:color="BBCFE0"/>
              <w:right w:val="single" w:sz="4" w:space="0" w:color="BBCFE0"/>
            </w:tcBorders>
            <w:shd w:val="clear" w:color="auto" w:fill="EAF1F8"/>
            <w:tcMar>
              <w:top w:w="80" w:type="dxa"/>
              <w:left w:w="120" w:type="dxa"/>
              <w:bottom w:w="80" w:type="dxa"/>
              <w:right w:w="120" w:type="dxa"/>
            </w:tcMar>
          </w:tcPr>
          <w:p w14:paraId="50A9D3D2" w14:textId="77777777" w:rsidR="00161D1B" w:rsidRPr="00161D1B" w:rsidRDefault="00161D1B" w:rsidP="006717DC">
            <w:pPr>
              <w:rPr>
                <w:sz w:val="16"/>
                <w:szCs w:val="16"/>
              </w:rPr>
            </w:pPr>
            <w:r>
              <w:rPr>
                <w:sz w:val="16"/>
                <w:szCs w:val="16"/>
              </w:rPr>
              <w:t>Care instructions</w:t>
            </w:r>
          </w:p>
        </w:tc>
        <w:tc>
          <w:tcPr>
            <w:tcW w:w="2551" w:type="dxa"/>
            <w:tcBorders>
              <w:top w:val="single" w:sz="4" w:space="0" w:color="BBCFE0"/>
              <w:left w:val="single" w:sz="4" w:space="0" w:color="BBCFE0"/>
              <w:bottom w:val="single" w:sz="4" w:space="0" w:color="BBCFE0"/>
              <w:right w:val="single" w:sz="4" w:space="0" w:color="BBCFE0"/>
            </w:tcBorders>
            <w:shd w:val="clear" w:color="auto" w:fill="EAF1F8"/>
            <w:tcMar>
              <w:top w:w="80" w:type="dxa"/>
              <w:left w:w="120" w:type="dxa"/>
              <w:bottom w:w="80" w:type="dxa"/>
              <w:right w:w="120" w:type="dxa"/>
            </w:tcMar>
          </w:tcPr>
          <w:p w14:paraId="1E300EEF" w14:textId="77777777" w:rsidR="00161D1B" w:rsidRPr="00161D1B" w:rsidRDefault="00161D1B" w:rsidP="006717DC">
            <w:pPr>
              <w:rPr>
                <w:sz w:val="16"/>
                <w:szCs w:val="16"/>
              </w:rPr>
            </w:pPr>
            <w:r>
              <w:rPr>
                <w:sz w:val="16"/>
                <w:szCs w:val="16"/>
              </w:rPr>
              <w:t>Model</w:t>
            </w:r>
          </w:p>
        </w:tc>
      </w:tr>
      <w:tr w:rsidR="00161D1B" w:rsidRPr="00161D1B" w14:paraId="0C65E255" w14:textId="77777777" w:rsidTr="003B10E2">
        <w:tblPrEx>
          <w:tblCellMar>
            <w:top w:w="0" w:type="dxa"/>
            <w:bottom w:w="0" w:type="dxa"/>
          </w:tblCellMar>
        </w:tblPrEx>
        <w:trPr>
          <w:trHeight w:val="20"/>
        </w:trPr>
        <w:tc>
          <w:tcPr>
            <w:tcW w:w="0" w:type="auto"/>
            <w:vMerge/>
            <w:tcBorders>
              <w:top w:val="single" w:sz="4" w:space="0" w:color="BBCFE0"/>
              <w:left w:val="single" w:sz="4" w:space="0" w:color="BBCFE0"/>
              <w:bottom w:val="single" w:sz="4" w:space="0" w:color="BBCFE0"/>
              <w:right w:val="single" w:sz="4" w:space="0" w:color="BBCFE0"/>
            </w:tcBorders>
          </w:tcPr>
          <w:p w14:paraId="5315E2F7" w14:textId="77777777" w:rsidR="00161D1B" w:rsidRPr="00161D1B" w:rsidRDefault="00161D1B" w:rsidP="006717DC">
            <w:pPr>
              <w:rPr>
                <w:sz w:val="16"/>
                <w:szCs w:val="16"/>
              </w:rPr>
            </w:pPr>
          </w:p>
        </w:tc>
        <w:tc>
          <w:tcPr>
            <w:tcW w:w="4275" w:type="dxa"/>
            <w:tcBorders>
              <w:top w:val="single" w:sz="4" w:space="0" w:color="BBCFE0"/>
              <w:left w:val="single" w:sz="4" w:space="0" w:color="BBCFE0"/>
              <w:bottom w:val="single" w:sz="4" w:space="0" w:color="BBCFE0"/>
              <w:right w:val="single" w:sz="4" w:space="0" w:color="BBCFE0"/>
            </w:tcBorders>
            <w:shd w:val="clear" w:color="auto" w:fill="FFFFFF"/>
            <w:tcMar>
              <w:top w:w="80" w:type="dxa"/>
              <w:left w:w="120" w:type="dxa"/>
              <w:bottom w:w="80" w:type="dxa"/>
              <w:right w:w="120" w:type="dxa"/>
            </w:tcMar>
          </w:tcPr>
          <w:p w14:paraId="09B10C41" w14:textId="77777777" w:rsidR="00161D1B" w:rsidRPr="00161D1B" w:rsidRDefault="00161D1B" w:rsidP="006717DC">
            <w:pPr>
              <w:rPr>
                <w:sz w:val="16"/>
                <w:szCs w:val="16"/>
              </w:rPr>
            </w:pPr>
            <w:r>
              <w:rPr>
                <w:sz w:val="16"/>
                <w:szCs w:val="16"/>
              </w:rPr>
              <w:t>Repair instructions *</w:t>
            </w:r>
          </w:p>
        </w:tc>
        <w:tc>
          <w:tcPr>
            <w:tcW w:w="2551" w:type="dxa"/>
            <w:tcBorders>
              <w:top w:val="single" w:sz="4" w:space="0" w:color="BBCFE0"/>
              <w:left w:val="single" w:sz="4" w:space="0" w:color="BBCFE0"/>
              <w:bottom w:val="single" w:sz="4" w:space="0" w:color="BBCFE0"/>
              <w:right w:val="single" w:sz="4" w:space="0" w:color="BBCFE0"/>
            </w:tcBorders>
            <w:shd w:val="clear" w:color="auto" w:fill="FFFFFF"/>
            <w:tcMar>
              <w:top w:w="80" w:type="dxa"/>
              <w:left w:w="120" w:type="dxa"/>
              <w:bottom w:w="80" w:type="dxa"/>
              <w:right w:w="120" w:type="dxa"/>
            </w:tcMar>
          </w:tcPr>
          <w:p w14:paraId="682FCA04" w14:textId="77777777" w:rsidR="00161D1B" w:rsidRPr="00161D1B" w:rsidRDefault="00161D1B" w:rsidP="006717DC">
            <w:pPr>
              <w:rPr>
                <w:sz w:val="16"/>
                <w:szCs w:val="16"/>
              </w:rPr>
            </w:pPr>
            <w:r>
              <w:rPr>
                <w:sz w:val="16"/>
                <w:szCs w:val="16"/>
              </w:rPr>
              <w:t>Model</w:t>
            </w:r>
          </w:p>
        </w:tc>
      </w:tr>
      <w:tr w:rsidR="00161D1B" w:rsidRPr="00161D1B" w14:paraId="107B0023" w14:textId="77777777" w:rsidTr="003B10E2">
        <w:tblPrEx>
          <w:tblCellMar>
            <w:top w:w="0" w:type="dxa"/>
            <w:bottom w:w="0" w:type="dxa"/>
          </w:tblCellMar>
        </w:tblPrEx>
        <w:trPr>
          <w:trHeight w:val="20"/>
        </w:trPr>
        <w:tc>
          <w:tcPr>
            <w:tcW w:w="0" w:type="auto"/>
            <w:vMerge/>
            <w:tcBorders>
              <w:top w:val="single" w:sz="4" w:space="0" w:color="BBCFE0"/>
              <w:left w:val="single" w:sz="4" w:space="0" w:color="BBCFE0"/>
              <w:bottom w:val="single" w:sz="4" w:space="0" w:color="BBCFE0"/>
              <w:right w:val="single" w:sz="4" w:space="0" w:color="BBCFE0"/>
            </w:tcBorders>
          </w:tcPr>
          <w:p w14:paraId="3BA8996A" w14:textId="77777777" w:rsidR="00161D1B" w:rsidRPr="00161D1B" w:rsidRDefault="00161D1B" w:rsidP="006717DC">
            <w:pPr>
              <w:rPr>
                <w:sz w:val="16"/>
                <w:szCs w:val="16"/>
              </w:rPr>
            </w:pPr>
          </w:p>
        </w:tc>
        <w:tc>
          <w:tcPr>
            <w:tcW w:w="4275" w:type="dxa"/>
            <w:tcBorders>
              <w:top w:val="single" w:sz="4" w:space="0" w:color="BBCFE0"/>
              <w:left w:val="single" w:sz="4" w:space="0" w:color="BBCFE0"/>
              <w:bottom w:val="single" w:sz="4" w:space="0" w:color="BBCFE0"/>
              <w:right w:val="single" w:sz="4" w:space="0" w:color="BBCFE0"/>
            </w:tcBorders>
            <w:shd w:val="clear" w:color="auto" w:fill="EAF1F8"/>
            <w:tcMar>
              <w:top w:w="80" w:type="dxa"/>
              <w:left w:w="120" w:type="dxa"/>
              <w:bottom w:w="80" w:type="dxa"/>
              <w:right w:w="120" w:type="dxa"/>
            </w:tcMar>
          </w:tcPr>
          <w:p w14:paraId="4E125CBC" w14:textId="77777777" w:rsidR="00161D1B" w:rsidRPr="00161D1B" w:rsidRDefault="00161D1B" w:rsidP="006717DC">
            <w:pPr>
              <w:rPr>
                <w:sz w:val="16"/>
                <w:szCs w:val="16"/>
              </w:rPr>
            </w:pPr>
            <w:r>
              <w:rPr>
                <w:sz w:val="16"/>
                <w:szCs w:val="16"/>
              </w:rPr>
              <w:t>Contact of repair services offered by brand *</w:t>
            </w:r>
          </w:p>
        </w:tc>
        <w:tc>
          <w:tcPr>
            <w:tcW w:w="2551" w:type="dxa"/>
            <w:tcBorders>
              <w:top w:val="single" w:sz="4" w:space="0" w:color="BBCFE0"/>
              <w:left w:val="single" w:sz="4" w:space="0" w:color="BBCFE0"/>
              <w:bottom w:val="single" w:sz="4" w:space="0" w:color="BBCFE0"/>
              <w:right w:val="single" w:sz="4" w:space="0" w:color="BBCFE0"/>
            </w:tcBorders>
            <w:shd w:val="clear" w:color="auto" w:fill="EAF1F8"/>
            <w:tcMar>
              <w:top w:w="80" w:type="dxa"/>
              <w:left w:w="120" w:type="dxa"/>
              <w:bottom w:w="80" w:type="dxa"/>
              <w:right w:w="120" w:type="dxa"/>
            </w:tcMar>
          </w:tcPr>
          <w:p w14:paraId="317C8159" w14:textId="77777777" w:rsidR="00161D1B" w:rsidRPr="00161D1B" w:rsidRDefault="00161D1B" w:rsidP="006717DC">
            <w:pPr>
              <w:rPr>
                <w:sz w:val="16"/>
                <w:szCs w:val="16"/>
              </w:rPr>
            </w:pPr>
            <w:r>
              <w:rPr>
                <w:sz w:val="16"/>
                <w:szCs w:val="16"/>
              </w:rPr>
              <w:t>Model</w:t>
            </w:r>
          </w:p>
        </w:tc>
      </w:tr>
      <w:tr w:rsidR="00161D1B" w:rsidRPr="00161D1B" w14:paraId="71446169" w14:textId="77777777" w:rsidTr="003B10E2">
        <w:tblPrEx>
          <w:tblCellMar>
            <w:top w:w="0" w:type="dxa"/>
            <w:bottom w:w="0" w:type="dxa"/>
          </w:tblCellMar>
        </w:tblPrEx>
        <w:trPr>
          <w:trHeight w:val="20"/>
        </w:trPr>
        <w:tc>
          <w:tcPr>
            <w:tcW w:w="2200" w:type="dxa"/>
            <w:tcBorders>
              <w:top w:val="single" w:sz="4" w:space="0" w:color="BBCFE0"/>
              <w:left w:val="single" w:sz="4" w:space="0" w:color="BBCFE0"/>
              <w:bottom w:val="single" w:sz="4" w:space="0" w:color="BBCFE0"/>
              <w:right w:val="single" w:sz="4" w:space="0" w:color="BBCFE0"/>
            </w:tcBorders>
            <w:shd w:val="clear" w:color="auto" w:fill="D2E3F0"/>
            <w:tcMar>
              <w:top w:w="80" w:type="dxa"/>
              <w:left w:w="120" w:type="dxa"/>
              <w:bottom w:w="80" w:type="dxa"/>
              <w:right w:w="120" w:type="dxa"/>
            </w:tcMar>
            <w:vAlign w:val="center"/>
          </w:tcPr>
          <w:p w14:paraId="59C0F928" w14:textId="77777777" w:rsidR="00161D1B" w:rsidRPr="00161D1B" w:rsidRDefault="00161D1B" w:rsidP="006717DC">
            <w:pPr>
              <w:rPr>
                <w:sz w:val="16"/>
                <w:szCs w:val="16"/>
              </w:rPr>
            </w:pPr>
            <w:r>
              <w:rPr>
                <w:b/>
                <w:bCs/>
                <w:color w:val="1F4E79"/>
                <w:sz w:val="16"/>
                <w:szCs w:val="16"/>
              </w:rPr>
              <w:t>Product Information — Manuals and instructions</w:t>
            </w:r>
          </w:p>
        </w:tc>
        <w:tc>
          <w:tcPr>
            <w:tcW w:w="4275" w:type="dxa"/>
            <w:tcBorders>
              <w:top w:val="single" w:sz="4" w:space="0" w:color="BBCFE0"/>
              <w:left w:val="single" w:sz="4" w:space="0" w:color="BBCFE0"/>
              <w:bottom w:val="single" w:sz="4" w:space="0" w:color="BBCFE0"/>
              <w:right w:val="single" w:sz="4" w:space="0" w:color="BBCFE0"/>
            </w:tcBorders>
            <w:shd w:val="clear" w:color="auto" w:fill="FFFFFF"/>
            <w:tcMar>
              <w:top w:w="80" w:type="dxa"/>
              <w:left w:w="120" w:type="dxa"/>
              <w:bottom w:w="80" w:type="dxa"/>
              <w:right w:w="120" w:type="dxa"/>
            </w:tcMar>
          </w:tcPr>
          <w:p w14:paraId="5B236772" w14:textId="77777777" w:rsidR="00161D1B" w:rsidRPr="00161D1B" w:rsidRDefault="00161D1B" w:rsidP="006717DC">
            <w:pPr>
              <w:rPr>
                <w:sz w:val="16"/>
                <w:szCs w:val="16"/>
              </w:rPr>
            </w:pPr>
            <w:r>
              <w:rPr>
                <w:sz w:val="16"/>
                <w:szCs w:val="16"/>
              </w:rPr>
              <w:t>Warranty duration</w:t>
            </w:r>
          </w:p>
        </w:tc>
        <w:tc>
          <w:tcPr>
            <w:tcW w:w="2551" w:type="dxa"/>
            <w:tcBorders>
              <w:top w:val="single" w:sz="4" w:space="0" w:color="BBCFE0"/>
              <w:left w:val="single" w:sz="4" w:space="0" w:color="BBCFE0"/>
              <w:bottom w:val="single" w:sz="4" w:space="0" w:color="BBCFE0"/>
              <w:right w:val="single" w:sz="4" w:space="0" w:color="BBCFE0"/>
            </w:tcBorders>
            <w:shd w:val="clear" w:color="auto" w:fill="FFFFFF"/>
            <w:tcMar>
              <w:top w:w="80" w:type="dxa"/>
              <w:left w:w="120" w:type="dxa"/>
              <w:bottom w:w="80" w:type="dxa"/>
              <w:right w:w="120" w:type="dxa"/>
            </w:tcMar>
          </w:tcPr>
          <w:p w14:paraId="78445A2D" w14:textId="77777777" w:rsidR="00161D1B" w:rsidRPr="00161D1B" w:rsidRDefault="00161D1B" w:rsidP="006717DC">
            <w:pPr>
              <w:rPr>
                <w:sz w:val="16"/>
                <w:szCs w:val="16"/>
              </w:rPr>
            </w:pPr>
            <w:r>
              <w:rPr>
                <w:sz w:val="16"/>
                <w:szCs w:val="16"/>
              </w:rPr>
              <w:t>Model</w:t>
            </w:r>
          </w:p>
        </w:tc>
      </w:tr>
    </w:tbl>
    <w:p w14:paraId="08076071" w14:textId="1E0B9689" w:rsidR="00D60EF1" w:rsidRDefault="00D60EF1"/>
    <w:p w14:paraId="35C9EFF8" w14:textId="3D9AC42F" w:rsidR="00D60EF1" w:rsidRDefault="00D60EF1">
      <w:r>
        <w:br w:type="page"/>
      </w:r>
    </w:p>
    <w:p w14:paraId="756524AD" w14:textId="77777777" w:rsidR="00CB0F61" w:rsidRDefault="00CB0F61" w:rsidP="00DA1E5C"/>
    <w:p w14:paraId="3D000054" w14:textId="77777777" w:rsidR="00CB0F61" w:rsidRPr="00307F68" w:rsidRDefault="0084011A">
      <w:pPr>
        <w:jc w:val="both"/>
        <w:rPr>
          <w:sz w:val="18"/>
          <w:szCs w:val="18"/>
        </w:rPr>
      </w:pPr>
      <w:r>
        <w:rPr>
          <w:sz w:val="18"/>
          <w:szCs w:val="18"/>
        </w:rPr>
        <w:t>Table 2. Proposed granularity levels by data field for textile DPPs (adapted from González-Torres &amp; Arcipowska, 2026, Table 13). Items marked (*) are proposed to be provided on a voluntary basis; fields without an asterisk are proposed as mandatory. The source also allows an economic operator to provide data at a finer granularity than mandated on a voluntary basis, so the levels shown are minimum requirements rather than ceilings.</w:t>
      </w:r>
    </w:p>
    <w:p w14:paraId="3D000055" w14:textId="77777777" w:rsidR="00CB0F61" w:rsidRDefault="0084011A" w:rsidP="00307F68">
      <w:r>
        <w:t>Several observations from Table 2 are directly relevant to the M-DPP system design. First, fibre composition is assigned model-level granularity, consistent with existing Textile Labelling Regulation requirements and with the current industry practice of managing composition data at the style or order level. Second, substances of concern are assigned batch-level granularity, reflecting the greater variability in chemical usage between production runs compared to core fibre composition. Third, the unique product identifier is listed at item level in Table 2 but marked voluntary; the study’s accompanying text is more specific about the registered identifier, proposing the batch identifier as the minimum requirement, to be populated with batch- or model-level information according to the granularity assigned to each field, with item-level identifiers voluntary and finer-than-mandated granularity permitted on a voluntary basis. It is worth being precise about what the study assigns versus what M-DPP chooses: the study places fibre composition at model level and substances of concern at batch level. M-DPP’s decision to work with composition claims at batch level for verification purposes is therefore its own design choice, a permissible use of the study’s voluntary finer-granularity allowance, rather than a restatement of the study’s model-level assignment for composition. On that basis the WP3 identifier architecture takes batch-level as the primary design target, model-level as the mandatory baseline inherited from the study, and item-level as a voluntary extension.</w:t>
      </w:r>
    </w:p>
    <w:p w14:paraId="3D000056" w14:textId="77777777" w:rsidR="00CB0F61" w:rsidRDefault="0084011A">
      <w:pPr>
        <w:pStyle w:val="Heading2"/>
      </w:pPr>
      <w:bookmarkStart w:id="22" w:name="_Toc_s3_7"/>
      <w:bookmarkStart w:id="23" w:name="_Toc232001081"/>
      <w:r>
        <w:t>3.7  Position of the M-DPP Project within the Implementation Landscape</w:t>
      </w:r>
      <w:bookmarkEnd w:id="22"/>
      <w:bookmarkEnd w:id="23"/>
    </w:p>
    <w:p w14:paraId="3D000057" w14:textId="77777777" w:rsidR="00CB0F61" w:rsidRDefault="0084011A" w:rsidP="00F63079">
      <w:r>
        <w:t>The M-DPP project occupies a specific and well-defined position within the DPP implementation landscape described in this section. It is a practice-oriented research project, funded through Regieorgaan SIA, that develops and validates a molecular-fingerprinting approach to composition claim verification within the ESPR DPP framework. Its outputs — a molecular reference database (WP2), a DPP verification software layer (WP3), and the compliance and implementation findings of WP1 — are designed to be directly applicable within the CoE-DPP’s broader ecosystem development work.</w:t>
      </w:r>
    </w:p>
    <w:p w14:paraId="3D000058" w14:textId="77777777" w:rsidR="00CB0F61" w:rsidRDefault="0084011A" w:rsidP="00F11BAF">
      <w:r>
        <w:t>Three structural alignments between M-DPP and the implementation landscape are worth noting explicitly. First, the project’s timing is well-calibrated: the textile delegated act is not yet published, meaning that design decisions in WP2 and WP3 can be made in dialogue with the emerging regulatory requirements rather than in retrospect. Second, the modular three-layer architecture of the M-DPP system — core DPP layer, M-DPP composition claims extension, and laboratory/HAN layer — is structurally consistent with the INNOPAY Adoption Pulse’s recommendation for scalable, modular pilot-to-product pathways that can be adopted incrementally by a range of organisations. Third, M-DPP’s focus on the declared-versus-evidenced distinction in composition data addresses the single most consistently cited structural weakness in both the Adoption Pulse and the Delphi consultation: that data flows from suppliers to brands to DPPs are primarily declaratory, with independent verification either absent or structurally inaccessible.</w:t>
      </w:r>
    </w:p>
    <w:p w14:paraId="3D000059" w14:textId="77777777" w:rsidR="00CB0F61" w:rsidRDefault="0084011A" w:rsidP="00776703">
      <w:r>
        <w:t>One important constraint applies: the M-DPP system addresses composition verification but does not directly address traceability of sourcing locations or chemical treatment history. The implementation landscape analysis in this section — particularly the Adoption Pulse’s five-barrier framework and the Delphi consultation’s supply chain traceability findings — confirms that traceability beyond Tier 1 remains a structural bottleneck that molecular characterisation alone cannot resolve. This constraint should be clearly acknowledged in the project’s external communications and in the compliance strategy set out in Section 5.</w:t>
      </w:r>
    </w:p>
    <w:p w14:paraId="3D00005A" w14:textId="77777777" w:rsidR="00CB0F61" w:rsidRDefault="00CB0F61">
      <w:pPr>
        <w:spacing w:after="80"/>
      </w:pPr>
    </w:p>
    <w:p w14:paraId="34B62837" w14:textId="77777777" w:rsidR="00046B73" w:rsidRDefault="00046B73">
      <w:pPr>
        <w:rPr>
          <w:b/>
          <w:bCs/>
          <w:color w:val="1F4E79"/>
          <w:sz w:val="32"/>
          <w:szCs w:val="32"/>
        </w:rPr>
      </w:pPr>
      <w:r>
        <w:br w:type="page"/>
      </w:r>
    </w:p>
    <w:p w14:paraId="5F8E8EF9" w14:textId="6036E32D" w:rsidR="00CB0F61" w:rsidRDefault="0084011A">
      <w:pPr>
        <w:pStyle w:val="Heading1"/>
        <w:pBdr>
          <w:bottom w:val="single" w:sz="4" w:space="4" w:color="1F4E79"/>
        </w:pBdr>
      </w:pPr>
      <w:bookmarkStart w:id="24" w:name="_Toc232001082"/>
      <w:r>
        <w:lastRenderedPageBreak/>
        <w:t>4. Stakeholder-Validated Requirements: Delphi Consultation</w:t>
      </w:r>
      <w:bookmarkEnd w:id="24"/>
    </w:p>
    <w:p w14:paraId="2B000001" w14:textId="77777777" w:rsidR="00CB0F61" w:rsidRDefault="0084011A">
      <w:pPr>
        <w:pStyle w:val="Heading2"/>
      </w:pPr>
      <w:bookmarkStart w:id="25" w:name="_Toc_s4_1"/>
      <w:bookmarkStart w:id="26" w:name="_Toc232001083"/>
      <w:r>
        <w:t>4.1  Study Design</w:t>
      </w:r>
      <w:bookmarkEnd w:id="25"/>
      <w:bookmarkEnd w:id="26"/>
    </w:p>
    <w:p w14:paraId="2B000002" w14:textId="77777777" w:rsidR="00CB0F61" w:rsidRDefault="0084011A" w:rsidP="00046B73">
      <w:r>
        <w:t>This section reports the findings of the M-DPP Delphi stakeholder consultation, which forms the practice-grounded evidence base for the compliance and implementation strategy in Section 5. The consultation was designed to establish a shared, expert-validated understanding of which Digital Product Passport requirements are both regulatory-compliant and practically feasible across the textile value chain — and to identify where the two are currently in tension.</w:t>
      </w:r>
    </w:p>
    <w:p w14:paraId="2B000003" w14:textId="77777777" w:rsidR="00CB0F61" w:rsidRDefault="0084011A" w:rsidP="00046B73">
      <w:r>
        <w:t>The research question underpinning the consultation is: which DPP requirements are necessary for regulatory compliance under the ESPR, and which of these are workable in everyday practice across the textile value chain by 2027? The five topics addressed — material composition and chemical safety, supply chain traceability, recyclability, packaging, and environmental footprint — correspond to the mandatory Phase 1 requirements identified in the ESPR and the JRC preparatory study for the textile delegated act. These topics were selected because they are simultaneously most urgent and most contested in terms of how compliance can realistically be achieved.</w:t>
      </w:r>
    </w:p>
    <w:p w14:paraId="2B000004" w14:textId="77777777" w:rsidR="00CB0F61" w:rsidRDefault="0084011A" w:rsidP="003D5055">
      <w:r>
        <w:t>The consultation uses a structured multi-round Delphi format. Round 1 used open-ended questions to elicit independent expert perspectives on each topic, which were then thematically analysed to identify points of consensus, tension, and significant individual contributions. Round 2 translated these findings into twelve testable statements, each rated on a five-point feasibility scale and a binary normative question (should this be required?); three statements included a governance sub-question on who should take the lead. Round 3 (eight respondents) returned the aggregated Round 2 results to the panel and asked four focused follow-up questions on the issues that remained genuinely unresolved after Round 2. Its results are incorporated in this section. One methodological point governs every cross-round comparison that follows: the respondent count changed across the consultation (8, then 11, then 8), so the panel composition demonstrably changed between rounds, and because responses are anonymous, individual opinion change cannot be separated from composition change. Statements about movement between rounds therefore describe movement of the panel result, not verified movement of individual opinions.</w:t>
      </w:r>
    </w:p>
    <w:p w14:paraId="2B000005" w14:textId="77777777" w:rsidR="00CB0F61" w:rsidRDefault="0084011A" w:rsidP="003D5055">
      <w:r>
        <w:t>A third data source is an Industry Living Lab workshop held in April 2026, in which a broader and partially overlapping group of participants discussed the same five topics using a collaborative format. Workshop contributions are treated as supplementary input, clearly distinguished from the individual questionnaire responses, and incorporated where they confirm or materially extend the panel findings.</w:t>
      </w:r>
    </w:p>
    <w:p w14:paraId="2B000006" w14:textId="77777777" w:rsidR="00CB0F61" w:rsidRDefault="0084011A" w:rsidP="003D5055">
      <w:r>
        <w:t>Round 1 received eight responses. The panel comprises four stakeholder groups: Supply Chain (three respondents — a Tier 1+2 manufacturer, a small brand, and a Tier 2 processor); Circularity and End-of-Life (two respondents — a mechanical recycler and a collector/sorter); Technology and Data (one respondent — a DPP platform provider who is a consortium partner); and Policy, Research and Civil Society (two respondents — a researcher and a transition architect). Round 2 received eleven responses, with the Supply Chain group expanding to six respondents. All respondents represent small organisations: eight of eleven have fewer than fifty staff. The panel skews towards smaller actors; no large brand or multinational manufacturer is represented. This is noted as a structural limitation: responses from larger firms with complex global supply chains may differ significantly from those in this panel.</w:t>
      </w:r>
    </w:p>
    <w:p w14:paraId="2B000007" w14:textId="77777777" w:rsidR="00CB0F61" w:rsidRDefault="0084011A" w:rsidP="003D5055">
      <w:r>
        <w:t>Interpretation throughout this section follows the Delphi method’s analytical logic: near-consensus findings are treated as robust evidence; areas of persistent disagreement are as analytically informative as areas of agreement; and individual contributions carrying particular weight — including the recycler respondent’s involvement in CEN TC248/WG39 — are noted where they bear directly on the reliability of the finding.</w:t>
      </w:r>
    </w:p>
    <w:p w14:paraId="2B000008" w14:textId="77777777" w:rsidR="00CB0F61" w:rsidRDefault="0084011A">
      <w:pPr>
        <w:pStyle w:val="Heading2"/>
      </w:pPr>
      <w:bookmarkStart w:id="27" w:name="_Toc_s4_2"/>
      <w:bookmarkStart w:id="28" w:name="_Toc232001084"/>
      <w:r>
        <w:lastRenderedPageBreak/>
        <w:t>4.2  Round 1 Findings by Topic</w:t>
      </w:r>
      <w:bookmarkEnd w:id="27"/>
      <w:bookmarkEnd w:id="28"/>
    </w:p>
    <w:p w14:paraId="2B000009" w14:textId="77777777" w:rsidR="00CB0F61" w:rsidRDefault="0084011A" w:rsidP="003D5055">
      <w:r>
        <w:t>The following sub-sections present the thematic synthesis of Round 1 responses per topic, incorporating supplementary input from the Industry Living Lab workshop where relevant.</w:t>
      </w:r>
    </w:p>
    <w:p w14:paraId="2B00000A" w14:textId="77777777" w:rsidR="00CB0F61" w:rsidRDefault="0084011A">
      <w:pPr>
        <w:pStyle w:val="Heading2"/>
      </w:pPr>
      <w:bookmarkStart w:id="29" w:name="_Toc_s4_21"/>
      <w:bookmarkStart w:id="30" w:name="_Toc232001085"/>
      <w:r>
        <w:t>4.2.1  Composition and Chemical Safety</w:t>
      </w:r>
      <w:bookmarkEnd w:id="29"/>
      <w:bookmarkEnd w:id="30"/>
    </w:p>
    <w:p w14:paraId="2B00000B" w14:textId="77777777" w:rsidR="00CB0F61" w:rsidRDefault="0084011A" w:rsidP="003D5055">
      <w:r>
        <w:t>The central finding from Round 1 on this topic is that composition data exists somewhere in the supply chain but rarely reaches product level in a connected, usable form. The challenge is one of data flow and integration, not data generation. Fibre data sits most reliably with yarn suppliers and, in some cases, only with raw material producers; it degrades as it moves toward the final product, and is often absent even at the brand’s own quality assurance level.</w:t>
      </w:r>
    </w:p>
    <w:p w14:paraId="2B00000C" w14:textId="77777777" w:rsidR="00CB0F61" w:rsidRDefault="0084011A" w:rsidP="00756068">
      <w:r>
        <w:t>Several respondents draw a sharp line between declared and independently evidenced data — a distinction that emerges as the most analytically significant finding across the entire consultation. Certifications exist and are partially useful, but only where actively maintained and properly understood. The workshop sharpened this from a data-flow problem to an integrity and enforcement problem: verification processes were described as “obscure,” with consultants and verifiers potentially charging thousands of euros with no actual evidence produced about chemical usage, and suppliers able to provide approximate information, decline to answer, or misrepresent.</w:t>
      </w:r>
    </w:p>
    <w:p w14:paraId="2B00000D" w14:textId="77777777" w:rsidR="00CB0F61" w:rsidRDefault="0084011A" w:rsidP="00756068">
      <w:r>
        <w:t>Recycled fibre is structurally harder than virgin material. Recycled content varies by batch and input quality, and achieving compositional certainty requires fine sorting at the pre-consumer stage — a different business case from the rough sorting currently prevalent. The regulation treats recycled and virgin content with the same data requirements; the underlying feasibility is different. A further structural constraint identified in the workshop: after use, material from different products becomes mixed in the waste stream, making it impossible to reliably attribute recycled content composition back to a specific product origin.</w:t>
      </w:r>
    </w:p>
    <w:p w14:paraId="2B00000E" w14:textId="77777777" w:rsidR="00CB0F61" w:rsidRDefault="0084011A" w:rsidP="00756068">
      <w:r>
        <w:t>There is near-consensus that “good enough” verification for 2027 means a product-level composition breakdown that is traceable to the supply chain partner who provided the data — not full molecular precision per batch. 100% compositional accuracy per batch is not considered economically viable. The workshop also flagged a specific data gap not raised in the questionnaire: yarn finishes — chemical treatments applied to fibres before fabric construction — which can contain harmful substances but fall between fibre-level and product-level data collection.</w:t>
      </w:r>
    </w:p>
    <w:p w14:paraId="2B00000F" w14:textId="77777777" w:rsidR="00CB0F61" w:rsidRDefault="0084011A" w:rsidP="00756068">
      <w:r>
        <w:t>Microfibre and nanoplastic shedding is explicitly flagged by the recycler respondent as requiring a proper test method before it becomes a useful regulatory requirement. No standardised measurement methodology currently exists across the textile sector. The ESPR Annex I mandates this data regardless.</w:t>
      </w:r>
    </w:p>
    <w:p w14:paraId="2B000010" w14:textId="77777777" w:rsidR="00CB0F61" w:rsidRDefault="0084011A">
      <w:pPr>
        <w:pStyle w:val="Heading2"/>
      </w:pPr>
      <w:bookmarkStart w:id="31" w:name="_Toc_s4_22"/>
      <w:bookmarkStart w:id="32" w:name="_Toc232001086"/>
      <w:r>
        <w:t>4.2.2  Supply Chain Traceability</w:t>
      </w:r>
      <w:bookmarkEnd w:id="31"/>
      <w:bookmarkEnd w:id="32"/>
    </w:p>
    <w:p w14:paraId="2B000011" w14:textId="77777777" w:rsidR="00CB0F61" w:rsidRDefault="0084011A" w:rsidP="00756068">
      <w:r>
        <w:t>The dominant finding on supply chain traceability is that the industry is not ready, and the barriers are structural rather than purely technical. Competitive secrecy, fragile buyer-supplier relationships, frequent supply chain changes, and limited supplier data capacity all sit behind the transparency gap. Policy and research respondents note that confidentiality has historically been used to shield unfair labour practices — a point that also explains why legislative pressure alone has had limited effect so far.</w:t>
      </w:r>
    </w:p>
    <w:p w14:paraId="2B000012" w14:textId="77777777" w:rsidR="00CB0F61" w:rsidRDefault="0084011A" w:rsidP="00756068">
      <w:r>
        <w:t>Visibility typically ends at Tier 1 and becomes patchy at Tier 2. Most brands can identify at least part of their Tier 1 supply chain through ERP systems, but the chain breaks further upstream. Respondents from within the supply chain who have deliberately near-</w:t>
        <w:lastRenderedPageBreak/>
        <w:t>shored or built long-term supplier relationships report better visibility, but explicitly note that these are premium or niche solutions, not sector-wide answers.</w:t>
      </w:r>
    </w:p>
    <w:p w14:paraId="2B000013" w14:textId="77777777" w:rsidR="00CB0F61" w:rsidRDefault="0084011A" w:rsidP="00756068">
      <w:r>
        <w:t>Supplier overload is identified as a systemic constraint: suppliers receive data requests from multiple clients in different formats, on top of existing energy, water, and other compliance requirements. Without format standardisation, DPP traceability requests add another layer to an already strained system. The concrete solution proposed by multiple respondents is a shared platform where manufacturers upload production information once and buyers access it via API — directly addressing the duplication burden. The workshop added nuance to the confidentiality issue: supplier names are harder to disclose than country of origin because suppliers sometimes begin competing with their own clients by vertically integrating. A counterpoint also emerged: if a supplier produces high-quality goods, DPP visibility could be a commercial advantage, enabling discovery by other brands.</w:t>
      </w:r>
    </w:p>
    <w:p w14:paraId="2B000014" w14:textId="77777777" w:rsidR="00CB0F61" w:rsidRDefault="0084011A" w:rsidP="00756068">
      <w:r>
        <w:t>There is near-consensus that full production-step traceability by 2027 is not realistic for most of the sector. Tier 1 visibility is the achievable 2027 target; beyond that is partial at best. The workshop identified a further structural tension: current certification systems are designed for mass production and do not function for on-demand or small-batch producers, who would need to certify each production run individually.</w:t>
      </w:r>
    </w:p>
    <w:p w14:paraId="2B000015" w14:textId="77777777" w:rsidR="00CB0F61" w:rsidRDefault="0084011A">
      <w:pPr>
        <w:pStyle w:val="Heading2"/>
      </w:pPr>
      <w:bookmarkStart w:id="33" w:name="_Toc_s4_23"/>
      <w:bookmarkStart w:id="34" w:name="_Toc232001087"/>
      <w:r>
        <w:t>4.2.3  Recyclability</w:t>
      </w:r>
      <w:bookmarkEnd w:id="33"/>
      <w:bookmarkEnd w:id="34"/>
    </w:p>
    <w:p w14:paraId="2B000016" w14:textId="77777777" w:rsidR="00CB0F61" w:rsidRDefault="0084011A" w:rsidP="00756068">
      <w:r>
        <w:t>The most striking single contribution in the entire Round 1 dataset comes from the recycler respondent, who is actively sitting on the CEN TC248/WG39 working group tasked with developing a shared definition of recyclability for textiles, and states plainly that a workable definition is not achievable. This observation carries particular evidentiary weight: the respondent most directly positioned to assess the feasibility of standardisation on this question is the one reporting failure.</w:t>
      </w:r>
    </w:p>
    <w:p w14:paraId="2B000017" w14:textId="77777777" w:rsidR="00CB0F61" w:rsidRDefault="0084011A" w:rsidP="00756068">
      <w:r>
        <w:t>The dominant practical view is that a binary “recyclable / not recyclable” label is too blunt to be genuinely useful. What recyclers and sorters need is not a label but the underlying data: exact material composition, construction details, and which chemical treatments — dyes and finishes — were applied. A mechanical recycler needs finish and dye data to confirm the output contains no hazardous substances; a chemical recycler needs it to achieve a more efficient process. Recyclability also depends on which stream and which technology: the same product may be mechanically unrecyclable but chemically recyclable, making a single binary figure structurally inadequate.</w:t>
      </w:r>
    </w:p>
    <w:p w14:paraId="2B000018" w14:textId="77777777" w:rsidR="00CB0F61" w:rsidRDefault="0084011A" w:rsidP="00756068">
      <w:r>
        <w:t>The physical condition of a product at end-of-life is outside what a DPP produced at time of manufacture can capture. Even a technically recyclable product may not survive the recycling process if the fabric has degraded. The workshop added that recyclability yield varies by recycler for the same product depending on their technology — further undermining the concept of a universal recyclability figure. A systemic economic argument was also raised: Producer Responsibility Organisations and EPR systems need to substantially reduce costs for collectors, sorters, and recyclers. Without this, the practical outcome is continued export of unsorted textiles or incineration, which one participant estimated affects over 60% of textiles currently.</w:t>
      </w:r>
    </w:p>
    <w:p w14:paraId="2B000019" w14:textId="77777777" w:rsidR="00CB0F61" w:rsidRDefault="0084011A">
      <w:pPr>
        <w:pStyle w:val="Heading2"/>
      </w:pPr>
      <w:bookmarkStart w:id="35" w:name="_Toc_s4_24"/>
      <w:bookmarkStart w:id="36" w:name="_Toc232001088"/>
      <w:r>
        <w:t>4.2.4  Packaging</w:t>
      </w:r>
      <w:bookmarkEnd w:id="35"/>
      <w:bookmarkEnd w:id="36"/>
    </w:p>
    <w:p w14:paraId="2B00001A" w14:textId="77777777" w:rsidR="00CB0F61" w:rsidRDefault="0084011A" w:rsidP="00756068">
      <w:r>
        <w:t>Packaging produced the strongest consensus in the entire Round 1 questionnaire. Clear separation between packaging and product data is the dominant view: two respondents would give packaging its own fully separate DPP; others favour a clearly distinct linked layer. Nobody argues for mixing packaging and product data together.</w:t>
      </w:r>
    </w:p>
    <w:p w14:paraId="2B00001B" w14:textId="77777777" w:rsidR="00CB0F61" w:rsidRDefault="0084011A" w:rsidP="00756068">
      <w:r>
        <w:t xml:space="preserve">Basic packaging data is seen as manageable, but automatic data transfer from packaging to DPP systems is not considered realistic by 2027. The timing problem is real </w:t>
        <w:lastRenderedPageBreak/>
        <w:t>but partially solvable: packaging disappears before the product does, but can be removed from the live product description while being retained in the lifecycle assessment record. The packaging data most likely to appear in early DPPs is packaging material type, recycled content, recyclability, and reusability.</w:t>
      </w:r>
    </w:p>
    <w:p w14:paraId="2B00001C" w14:textId="77777777" w:rsidR="00CB0F61" w:rsidRDefault="0084011A" w:rsidP="00756068">
      <w:r>
        <w:t>Several respondents question whether packaging warrants the level of regulatory attention it receives relative to its actual environmental impact — the workshop estimated packaging at less than 1–5% of total product environmental impact for textiles. A design paradox raised in the workshop: if packaging carries an RFID chip, the packaging itself becomes harder to recycle. One participant proposed that RFID threads integrated into the garment are more logical than RFID on packaging, since the garment survives and the packaging does not.</w:t>
      </w:r>
    </w:p>
    <w:p w14:paraId="2B00001D" w14:textId="77777777" w:rsidR="00CB0F61" w:rsidRDefault="0084011A">
      <w:pPr>
        <w:pStyle w:val="Heading2"/>
      </w:pPr>
      <w:bookmarkStart w:id="37" w:name="_Toc_s4_25"/>
      <w:bookmarkStart w:id="38" w:name="_Toc232001089"/>
      <w:r>
        <w:t>4.2.5  Environmental Footprint</w:t>
      </w:r>
      <w:bookmarkEnd w:id="37"/>
      <w:bookmarkEnd w:id="38"/>
    </w:p>
    <w:p w14:paraId="2B00001E" w14:textId="77777777" w:rsidR="00CB0F61" w:rsidRDefault="0084011A" w:rsidP="00756068">
      <w:r>
        <w:t>The key reframing to emerge from Round 1 on environmental footprint is that location data matters more than transport distance data. Once production locations are disclosed, transport distances can be approximated with reasonable confidence. More importantly, where something is made affects its carbon footprint far more than how far it travelled, because countries have vastly different energy mixes — location disclosure therefore has greater analytical value than distance data alone.</w:t>
      </w:r>
    </w:p>
    <w:p w14:paraId="2B00001F" w14:textId="77777777" w:rsidR="00CB0F61" w:rsidRDefault="0084011A" w:rsidP="00756068">
      <w:r>
        <w:t>There is near-consensus that approximate data with clearly stated assumptions is the appropriate standard for 2027. Continent or country of origin plus estimated transport legs is the realistic and meaningful target. Exact, product-level transport distance data is not considered realistic for most of the sector by 2027 — only vertically integrated companies, those with stable long-term supply chains, and large companies already reporting on scope 3 emissions can realistically provide it. The workshop adds a structural challenge: the same product reference may travel different routes via different transport modes in different production batches, making even carefully collected figures non-representative of subsequent runs.</w:t>
      </w:r>
    </w:p>
    <w:p w14:paraId="2B000020" w14:textId="77777777" w:rsidR="00CB0F61" w:rsidRDefault="0084011A" w:rsidP="00756068">
      <w:r>
        <w:t>A sequencing point is raised by the consortium partner: getting traceability right is a prerequisite for building better footprint data. Asking for transport data before production location data is reliably in place is structurally premature.</w:t>
      </w:r>
    </w:p>
    <w:p w14:paraId="2B000021" w14:textId="77777777" w:rsidR="00CB0F61" w:rsidRDefault="0084011A">
      <w:pPr>
        <w:pStyle w:val="Heading2"/>
      </w:pPr>
      <w:bookmarkStart w:id="39" w:name="_Toc_s4_3"/>
      <w:bookmarkStart w:id="40" w:name="_Toc232001090"/>
      <w:r>
        <w:t>4.3  Round 2 Results by Topic</w:t>
      </w:r>
      <w:bookmarkEnd w:id="39"/>
      <w:bookmarkEnd w:id="40"/>
    </w:p>
    <w:p w14:paraId="2B000022" w14:textId="77777777" w:rsidR="00CB0F61" w:rsidRDefault="0084011A" w:rsidP="00756068">
      <w:r>
        <w:t>Round 2 presented twelve statements derived from the Round 1 analysis and asked participants to rate feasibility on a five-point scale (1 = not feasible, 5 = fully feasible) and to indicate whether each requirement should be mandated or developed. Three statements included a governance sub-question. Eleven respondents participated. Results are presented by topic.</w:t>
      </w:r>
    </w:p>
    <w:p w14:paraId="2B000023" w14:textId="77777777" w:rsidR="00CB0F61" w:rsidRDefault="0084011A">
      <w:pPr>
        <w:pStyle w:val="Heading2"/>
      </w:pPr>
      <w:bookmarkStart w:id="41" w:name="_Toc_s4_31"/>
      <w:bookmarkStart w:id="42" w:name="_Toc232001091"/>
      <w:r>
        <w:t>4.3.1  Composition and Chemical Safety</w:t>
      </w:r>
      <w:bookmarkEnd w:id="41"/>
      <w:bookmarkEnd w:id="42"/>
    </w:p>
    <w:p w14:paraId="2B000024" w14:textId="77777777" w:rsidR="00CB0F61" w:rsidRDefault="0084011A" w:rsidP="002C73EF">
      <w:r>
        <w:t>Q1.1 — product-level material composition data traceable to the supplying partner — produced unanimous normative agreement: all eleven respondents said this should be required. The feasibility picture is split: five rated it as unlikely feasible by 2027, four as likely feasible, one as uncertain, and one as fully feasible. The panel unambiguously endorses this as a requirement but is divided on the 2027 timeline. This finding is consistent with Round 1’s framing of the “good enough” standard: declared composition traceable to the data provider, not full molecular precision per batch.</w:t>
      </w:r>
    </w:p>
    <w:p w14:paraId="2B000025" w14:textId="77777777" w:rsidR="00CB0F61" w:rsidRDefault="0084011A" w:rsidP="002C73EF">
      <w:r>
        <w:t xml:space="preserve">Q1.2 — microfibre and nanoplastic release data — is the most contested statement in Round 2 and the only one without majority normative agreement: six said it should be required, five said it should not. Not a single respondent found it feasible by 2027: five </w:t>
        <w:lastRenderedPageBreak/>
        <w:t>rated it as unlikely feasible, four as uncertain, and two as not feasible. Both Technology and Data respondents voted No. The analysis suggests that the No votes most likely express “not until a standardised test method exists” rather than “this should never be required” — a distinction directly relevant to regulatory engagement, given that the ESPR mandates this data regardless of feasibility assessments by this panel.</w:t>
      </w:r>
    </w:p>
    <w:p w14:paraId="2B000026" w14:textId="77777777" w:rsidR="00CB0F61" w:rsidRDefault="0084011A" w:rsidP="002C73EF">
      <w:r>
        <w:t>Q1.3 — the statement that current independent third-party verification is too expensive, too opaque, and too easy to circumvent — received majority normative agreement (eight of eleven said independent verification should be mandatory), but feasibility ratings were the most evenly distributed result in the entire dataset: three rated it as uncertain, three as unlikely feasible, three as likely feasible, one as fully feasible, and one as not feasible. The three No votes came from both Technology and Data respondents and one Supply Chain respondent. On governance, votes were spread across four bodies with no majority: three voted for EU/government body, two for an independent international body, two for an industry standards body (CEN/ISO), and one for national accreditation bodies. This is the most genuinely contested governance question in the dataset.</w:t>
      </w:r>
    </w:p>
    <w:p w14:paraId="2B000027" w14:textId="77777777" w:rsidR="00CB0F61" w:rsidRDefault="0084011A">
      <w:pPr>
        <w:pStyle w:val="Heading2"/>
      </w:pPr>
      <w:bookmarkStart w:id="43" w:name="_Toc_s4_32"/>
      <w:bookmarkStart w:id="44" w:name="_Toc232001092"/>
      <w:r>
        <w:t>4.3.2  Supply Chain Traceability</w:t>
      </w:r>
      <w:bookmarkEnd w:id="43"/>
      <w:bookmarkEnd w:id="44"/>
    </w:p>
    <w:p w14:paraId="2B000028" w14:textId="77777777" w:rsidR="00CB0F61" w:rsidRDefault="0084011A" w:rsidP="002C73EF">
      <w:r>
        <w:t>Q2.1 — whether most textile brands can reliably report production-step locations by 2027 — produced strong normative agreement (ten of eleven) and a more positive feasibility picture than Topic 1, with five rating it as likely feasible, two as fully feasible, two as unlikely feasible, one as uncertain, and one as not feasible. This is one of the cleaner findings in the dataset, consistent with the Round 1 consensus that Tier 1 visibility is the realistic 2027 target. The single No vote (from a Circularity and End-of-Life respondent) reflects a consistent position attributing responsibility to brands and suppliers rather than to the DPP system itself.</w:t>
      </w:r>
    </w:p>
    <w:p w14:paraId="2B000029" w14:textId="77777777" w:rsidR="00CB0F61" w:rsidRDefault="0084011A" w:rsidP="002C73EF">
      <w:r>
        <w:t>Q2.2 — a shared, open, free-to-use data standard enabling suppliers to report once for all clients — produced the second unanimous normative finding (eleven of eleven said it should be developed), but six rated it as unlikely feasible by 2027, three as uncertain, and two as likely feasible. On governance, a plurality of five respondents favoured CEN/ISO leadership, supported by the argument that ISO standards are globally adopted and represent the only realistic vehicle for ensuring non-EU suppliers participate. The CEN/ISO plurality is the clearest governance preference in the dataset, though “plurality of five on a panel of eleven” warrants appropriate caution.</w:t>
      </w:r>
    </w:p>
    <w:p w14:paraId="2B00002A" w14:textId="77777777" w:rsidR="00CB0F61" w:rsidRDefault="0084011A" w:rsidP="002C73EF">
      <w:r>
        <w:t>Q2.4 — that current certification models place a disproportionate burden on small-batch and on-demand producers — received strong normative agreement (ten of eleven support a specific compliance pathway for these producers). Feasibility was split but leaned slightly positive: four rated it as likely feasible, three as unlikely, three as uncertain, and one as not feasible. This finding, derived from the Industry Living Lab workshop, identifies a systemic design flaw in the current compliance framework that directly affects a significant segment of the sector.</w:t>
      </w:r>
    </w:p>
    <w:p w14:paraId="2B00002B" w14:textId="77777777" w:rsidR="00CB0F61" w:rsidRDefault="0084011A">
      <w:pPr>
        <w:pStyle w:val="Heading2"/>
      </w:pPr>
      <w:bookmarkStart w:id="45" w:name="_Toc_s4_33"/>
      <w:bookmarkStart w:id="46" w:name="_Toc232001093"/>
      <w:r>
        <w:t>4.3.3  Recyclability</w:t>
      </w:r>
      <w:bookmarkEnd w:id="45"/>
      <w:bookmarkEnd w:id="46"/>
    </w:p>
    <w:p w14:paraId="2B00002C" w14:textId="77777777" w:rsidR="00CB0F61" w:rsidRDefault="0084011A" w:rsidP="002C73EF">
      <w:r>
        <w:t xml:space="preserve">Q3.1 — whether a shared, cross-technology recyclability assessment method will be available by 2027 — produced strong normative agreement that the method should precede mandatory reporting (nine of eleven), combined with clear feasibility pessimism: six rated it as unlikely feasible, three as uncertain, one as likely feasible, and one as fully feasible. This creates a policy paradox: if the panel’s position is both that the standard is a necessary prerequisite and that it is unlikely to be ready, the logical implication is that mandatory recyclability reporting under the DPP is not realistic by 2027. This implication was surfaced explicitly in Round 3. On governance, four voted for CEN/ISO, three for EU/government body, and two for recyclers and sorters sector-led. The recycler respondent who sits on CEN TC248/WG39 is a critical reference point for interpreting </w:t>
        <w:lastRenderedPageBreak/>
        <w:t>this result: the person most directly positioned to assess feasibility of standardisation reports that a workable definition is not achievable.</w:t>
      </w:r>
    </w:p>
    <w:p w14:paraId="2B00002D" w14:textId="77777777" w:rsidR="00CB0F61" w:rsidRDefault="0084011A" w:rsidP="002C73EF">
      <w:r>
        <w:t>Q3.2 — whether most brands can include the detailed data recyclers actually need (composition, construction type, chemical treatments) — received strong normative agreement (nine of eleven) and a more optimistic feasibility picture than Q3.1, with five rating it as likely feasible, three as uncertain, two as unlikely feasible, and one as not feasible. This produces an internal tension within Topic 3: the panel considers the underlying data more achievable than the standard for assessing it. An open comment challenged the broader framing: “The DPP can only give transparency in the supply chain and help collect data — it will not help recycling itself.” This mirrors the Round 1 position that recyclability indexes will only be useful after 2030, when recycling infrastructure and data flows have matured sufficiently.</w:t>
      </w:r>
    </w:p>
    <w:p w14:paraId="2B00002E" w14:textId="77777777" w:rsidR="00CB0F61" w:rsidRDefault="0084011A" w:rsidP="002C73EF">
      <w:r>
        <w:t>Q3.4 — that DPP recyclability requirements will have limited real-world impact without significant changes to PRO/EPR economic support for the recycling sector — received solid normative agreement (eight of eleven) but was dominated by “Uncertain” on likelihood (seven of eleven). This is the most ambiguous finding in the dataset. The panel endorses the structural point but does not feel equipped to assess whether PRO/EPR reform will happen by 2027. The statement originated exclusively from the Industry Living Lab workshop, which may partly explain the panel’s reluctance to call the likelihood question.</w:t>
      </w:r>
    </w:p>
    <w:p w14:paraId="2B00002F" w14:textId="77777777" w:rsidR="00CB0F61" w:rsidRDefault="0084011A">
      <w:pPr>
        <w:pStyle w:val="Heading2"/>
      </w:pPr>
      <w:bookmarkStart w:id="47" w:name="_Toc_s4_34"/>
      <w:bookmarkStart w:id="48" w:name="_Toc232001094"/>
      <w:r>
        <w:t>4.3.4  Packaging</w:t>
      </w:r>
      <w:bookmarkEnd w:id="47"/>
      <w:bookmarkEnd w:id="48"/>
    </w:p>
    <w:p w14:paraId="2B000030" w14:textId="77777777" w:rsidR="00CB0F61" w:rsidRDefault="0084011A" w:rsidP="002C73EF">
      <w:r>
        <w:t>Q4 — a preference question on how packaging data should be structured within the DPP — produced a paradoxical result: nine of eleven said the EU should mandate one specific approach, but votes were spread across all five structural options with no option receiving a majority. The option receiving the most votes (four respondents) was “clearly distinct section within the product DPP”; three respondents chose “fully separate packaging DPP, not connected.” One respondent chose the option most inconsistent with Round 1 — “fully integrated into the product DPP.” Round 3 therefore tests the two leading options head-to-head.</w:t>
      </w:r>
    </w:p>
    <w:p w14:paraId="2B000031" w14:textId="77777777" w:rsidR="00CB0F61" w:rsidRDefault="0084011A">
      <w:pPr>
        <w:pStyle w:val="Heading2"/>
      </w:pPr>
      <w:bookmarkStart w:id="49" w:name="_Toc_s4_35"/>
      <w:bookmarkStart w:id="50" w:name="_Toc232001095"/>
      <w:r>
        <w:t>4.3.5  Environmental Footprint</w:t>
      </w:r>
      <w:bookmarkEnd w:id="49"/>
      <w:bookmarkEnd w:id="50"/>
    </w:p>
    <w:p w14:paraId="2B000032" w14:textId="77777777" w:rsidR="00CB0F61" w:rsidRDefault="0084011A" w:rsidP="002C73EF">
      <w:r>
        <w:t>Q5.1 — reporting production-step country or region rather than exact transport distances — produced the strongest feasibility finding in the dataset: six rated it as likely feasible, three as fully feasible, one as uncertain, and one as unlikely feasible — nine of eleven in the feasible range. Nine of eleven said it should be required. This approaches consensus and is consistent with the Round 1 near-consensus that location data is both more achievable and more analytically meaningful than transport distances.</w:t>
      </w:r>
    </w:p>
    <w:p w14:paraId="2B000033" w14:textId="77777777" w:rsidR="00CB0F61" w:rsidRDefault="0084011A" w:rsidP="002C73EF">
      <w:r>
        <w:t>Q5.2 — whether estimated or average transport data with stated assumptions is sufficient to meet ESPR environmental footprint requirements — received a majority in favour (eight of eleven said it should be accepted), with six rating it as likely feasible, three as uncertain, one as fully feasible, and one as unlikely feasible. The three No votes were distributed across groups, not a group-specific position. The deliberately distinct framing — “should this be accepted” rather than “should this be required” — targets the legitimacy question: whether approximate data satisfies the ESPR’s requirement for “accurate” environmental footprint data remains legally unresolved.</w:t>
      </w:r>
    </w:p>
    <w:p w14:paraId="2B000034" w14:textId="77777777" w:rsidR="00CB0F61" w:rsidRDefault="0084011A">
      <w:pPr>
        <w:pStyle w:val="Heading2"/>
      </w:pPr>
      <w:bookmarkStart w:id="51" w:name="_Toc_s4_4"/>
      <w:bookmarkStart w:id="52" w:name="_Toc232001096"/>
      <w:r>
        <w:t>4.4  Areas of Consensus and Persistent Disagreement</w:t>
      </w:r>
      <w:bookmarkEnd w:id="51"/>
      <w:bookmarkEnd w:id="52"/>
    </w:p>
    <w:p w14:paraId="2B000035" w14:textId="77777777" w:rsidR="00CB0F61" w:rsidRDefault="0084011A" w:rsidP="002C73EF">
      <w:r>
        <w:t>Across twelve statements and eleven respondents, three distinct patterns characterise the Round 2 results.</w:t>
      </w:r>
    </w:p>
    <w:p w14:paraId="2B000036" w14:textId="77777777" w:rsidR="00CB0F61" w:rsidRDefault="0084011A" w:rsidP="002C73EF">
      <w:r>
        <w:rPr>
          <w:b/>
          <w:bCs/>
        </w:rPr>
        <w:lastRenderedPageBreak/>
        <w:t xml:space="preserve">Near-consensus (Q5.1). </w:t>
      </w:r>
      <w:r>
        <w:t>The closest result to full consensus is Q5.1: reporting production-step country or region rather than exact transport distances is both strongly endorsed and rated as feasible by a large majority. This represents the clearest single actionable finding from the consultation: location-level environmental data is the appropriate 2027 target for the environmental footprint requirement, and the panel broadly agrees.</w:t>
      </w:r>
    </w:p>
    <w:p w14:paraId="2B000037" w14:textId="77777777" w:rsidR="00CB0F61" w:rsidRDefault="0084011A" w:rsidP="002C73EF">
      <w:r>
        <w:rPr>
          <w:b/>
          <w:bCs/>
        </w:rPr>
        <w:t xml:space="preserve">Normative agreement with feasibility doubt. </w:t>
      </w:r>
      <w:r>
        <w:t>The largest cluster of findings combines near-unanimous normative agreement with majority feasibility doubt. Q1.1 (composition traceability), Q2.2 (shared data standard), Q3.1 (recyclability assessment method), and Q2.4 (small-batch compliance pathway) all received unanimous or near-unanimous “should happen” responses, but a majority of respondents doubted the 2027 timeline is realistic. Q3.2 (recycler-specific data), Q3.4 (PRO/EPR reform), and Q5.2 (estimated transport data) show solid majority normative agreement with moderate feasibility uncertainty. The cross-cutting implication is that the panel consistently endorses the direction of regulatory requirements but considers the 2027 timeline to be under-resourced relative to what compliance will actually demand.</w:t>
      </w:r>
    </w:p>
    <w:p w14:paraId="2B000038" w14:textId="77777777" w:rsidR="00CB0F61" w:rsidRDefault="0084011A" w:rsidP="002C73EF">
      <w:r>
        <w:rPr>
          <w:b/>
          <w:bCs/>
        </w:rPr>
        <w:t xml:space="preserve">Genuinely contested. </w:t>
      </w:r>
      <w:r>
        <w:t>Three findings are genuinely contested. Q1.2 (microfibre/nanoplastic data) is the only statement where the panel split almost evenly on whether it should be required at all, and is the only statement where zero respondents found it feasible. Q1.3 (independent verification governance) shows majority support for mandatory verification but no dominant view on who should administer it. Q4 (packaging structure) shows majority support for a mandated approach but no majority for any specific option. Round 3 addressed each of these directly.</w:t>
      </w:r>
    </w:p>
    <w:p w14:paraId="00000000" w14:textId="77777777" w:rsidR="00CB0F61" w:rsidRDefault="0084011A">
      <w:pPr>
        <w:pStyle w:val="Heading2"/>
      </w:pPr>
      <w:bookmarkStart w:id="530" w:name="_Toc_s4_4_1"/>
      <w:r>
        <w:t>4.4.1  Round 3 Outcomes</w:t>
      </w:r>
      <w:bookmarkEnd w:id="530"/>
    </w:p>
    <w:p w14:paraId="00000000" w14:textId="77777777" w:rsidR="00CB0F61" w:rsidRDefault="0084011A" w:rsidP="002C73EF">
      <w:r>
        <w:t>Round 3 put one focused question to the panel for each of the four issues left unresolved after Round 2, showing the Round 2 result before asking for a position. Two resolved and two are documented as persistent disagreements. As noted in Section 4.1, the panel composition changed between rounds, so each outcome below describes movement of the panel result rather than verified movement of individual opinions.</w:t>
      </w:r>
    </w:p>
    <w:p w14:paraId="00000000" w14:textId="77777777" w:rsidR="00CB0F61" w:rsidRDefault="0084011A" w:rsidP="002C73EF">
      <w:r>
        <w:rPr>
          <w:b/>
        </w:rPr>
        <w:t xml:space="preserve">Microfibre and nanoplastic data (resolved). </w:t>
      </w:r>
      <w:r>
        <w:t>On microfibre and nanoplastic data (Round 2: the only statement without majority normative agreement, six to five, and the only one no respondent found feasible by 2027), a three-way format replaced the earlier binary. Seven of eight now accept the requirement in some form — four want it phased in once a standardised test method exists, three want it required from 2027 using the best available approach — and only one rejects it outright. The panel’s centre of gravity is conditional acceptance, with the standardised test method as the precondition, and the open comments place responsibility for providing that method on the regulator, citing the REACH precedent under which the EU specifies an accepted testing methodology before imposing a restriction. The ESPR mandates this data regardless of the feasibility assessment, so the finding concerns the implementation pathway rather than whether the requirement should exist.</w:t>
      </w:r>
    </w:p>
    <w:p w14:paraId="00000000" w14:textId="77777777" w:rsidR="00CB0F61" w:rsidRDefault="0084011A" w:rsidP="002C73EF">
      <w:r>
        <w:rPr>
          <w:b/>
        </w:rPr>
        <w:t xml:space="preserve">Packaging structure (resolved). </w:t>
      </w:r>
      <w:r>
        <w:t>On packaging data structure (Round 2: nine of eleven wanted the EU to mandate one approach, but votes spread across all five structural options), Round 3 narrowed the choice to the two leading options. Six of eight chose a fully separate packaging DPP and two a clearly distinct section within the product DPP, re-aligning the panel with the strongest single consensus of Round 1 — that packaging and product data should be kept clearly separate — and pushing it to the architectural level. The rationale is consistent across the open comments: packaging is a product in its own right, usually made by different companies than the yarn, fabric or garment suppliers, so the material and recyclability knowledge sits with the packaging manufacturer. Combined with the Round 2 mandate finding, the panel’s final position is to mandate one approach and to mandate full separation. The composition caveat applies with particular force here: with a changed panel, the reversal from the Round 2 preference for a distinct-section option cannot be attributed to opinion change alone.</w:t>
      </w:r>
    </w:p>
    <w:p w14:paraId="00000000" w14:textId="77777777" w:rsidR="00CB0F61" w:rsidRDefault="0084011A" w:rsidP="002C73EF">
      <w:r>
        <w:rPr>
          <w:b/>
        </w:rPr>
        <w:t xml:space="preserve">Verification governance (persistent disagreement). </w:t>
      </w:r>
      <w:r>
        <w:t>On who should oversee independent verification (Round 2: eight of eleven wanted mandatory independent verification, but votes on the overseeing body spread across four candidates), Round 3 produced no consensus. The votes consolidated into two three-vote camps — an EU or government body versus an industry standards body such as CEN or ISO — with national accreditation bodies and an independent international body receiving one vote each. Neither camp reaches a majority on a panel of eight. The two rationales are coherent and pull in different directions: the EU or government camp values independence and proximity to the regulation, while the CEN or ISO camp values global adoption, on the argument that EU regulation does not bind the non-EU part of the supply chain. Under the Delphi method this is a documented persistent disagreement rather than a failure to converge: the panel agrees verification should be mandatory but does not agree who should govern it.</w:t>
      </w:r>
    </w:p>
    <w:p w14:paraId="00000000" w14:textId="77777777" w:rsidR="00CB0F61" w:rsidRDefault="0084011A" w:rsidP="002C73EF">
      <w:r>
        <w:rPr>
          <w:b/>
        </w:rPr>
        <w:t xml:space="preserve">Recyclability timeline (persistent disagreement). </w:t>
      </w:r>
      <w:r>
        <w:t>On the recyclability timeline (Round 2: nine of eleven said a shared recyclability assessment method should precede mandatory reporting, while six of eleven judged that method unlikely by 2027), Round 3 put the logical implication — that mandatory recyclability reporting is not realistic by 2027 — directly to the panel. The result was an even split, four for delaying and four for proceeding, with no respondent selecting the available “not sure” option. The proceed camp argues that the obligation itself is what forces the missing method into existence; the delay camp includes the panel’s only Circularity and End-of-Life respondent, who would redirect the requirement toward inputs — fibre, yarn and fabric specifications — rather than the finished garment. This is the second persistent disagreement: the panel does not dispute the Round 2 logic but divides on what follows from it.</w:t>
      </w:r>
    </w:p>
    <w:p w14:paraId="00000000" w14:textId="77777777" w:rsidR="00CB0F61" w:rsidRDefault="0084011A" w:rsidP="002C73EF">
      <w:r>
        <w:t>The two resolutions sharpen the report’s conclusions; the two persistent disagreements are themselves findings under the Delphi principle of controlled convergence, and are carried as such into the compliance strategy in Section 5 rather than being presented as settled. Both unresolved questions share a structural root — the absence of a standardised assessment method — and in both the panel locates responsibility for providing that method with regulators and standards bodies rather than individual companies.</w:t>
      </w:r>
    </w:p>
    <w:p w14:paraId="2B000039" w14:textId="77777777" w:rsidR="00CB0F61" w:rsidRDefault="0084011A">
      <w:pPr>
        <w:pStyle w:val="Heading2"/>
      </w:pPr>
      <w:bookmarkStart w:id="53" w:name="_Toc_s4_5"/>
      <w:bookmarkStart w:id="54" w:name="_Toc232001097"/>
      <w:r>
        <w:t>4.5  Cross-Cutting Findings</w:t>
      </w:r>
      <w:bookmarkEnd w:id="53"/>
      <w:bookmarkEnd w:id="54"/>
    </w:p>
    <w:p w14:paraId="2B00003A" w14:textId="77777777" w:rsidR="00CB0F61" w:rsidRDefault="0084011A" w:rsidP="002C73EF">
      <w:r>
        <w:t>Three cross-cutting themes emerge consistently across topics and across both rounds.</w:t>
      </w:r>
    </w:p>
    <w:p w14:paraId="2B00003B" w14:textId="77777777" w:rsidR="00CB0F61" w:rsidRDefault="0084011A" w:rsidP="002C73EF">
      <w:r>
        <w:rPr>
          <w:b/>
          <w:bCs/>
        </w:rPr>
        <w:t xml:space="preserve">SME burden and structural asymmetry. </w:t>
      </w:r>
      <w:r>
        <w:t>The consultation provides unambiguous evidence that the DPP compliance architecture as currently designed will bear disproportionately on small and medium enterprises. The small-batch certification incompatibility (Q2.4) is a concrete design flaw: certification systems assume large-scale, repeatable production runs and do not accommodate on-demand or small-batch producers who would need to certify each individual run. More broadly, the panel skews toward smaller actors (eight of eleven respondents have fewer than fifty staff), and the feasibility ratings across the dataset reflect the operational reality of this segment of the sector more than that of large multinational brands. Regulatory engagement on SME-specific compliance pathways is identified as a priority.</w:t>
      </w:r>
    </w:p>
    <w:p w14:paraId="2B00003C" w14:textId="77777777" w:rsidR="00CB0F61" w:rsidRDefault="0084011A" w:rsidP="00D424ED">
      <w:r>
        <w:rPr>
          <w:b/>
          <w:bCs/>
        </w:rPr>
        <w:t xml:space="preserve">Verification integrity and the declared-versus-evidenced gap. </w:t>
      </w:r>
      <w:r>
        <w:t>The declared-versus-evidenced distinction, which first emerged clearly in Round 1 and was reinforced through the workshop, constitutes the most analytically significant cross-cutting finding. Across composition, traceability, and recyclability, the panel consistently identifies a gap between what suppliers say and what can be independently confirmed. The workshop sharpened this from a data-flow problem to an integrity and enforcement problem: verification processes are described as costly, opaque, and easily circumvented. The normative agreement on mandatory independent verification (Q1.3, eight of eleven) coexists with genuine uncertainty about whether a trustworthy verification system can be in place by 2027. This tension is directly relevant to the M-DPP project’s molecular characterisation proposition: generating independent evidential data at the product level addresses precisely the enforcement gap the panel identifies, without requiring Tier 2 and Tier 3 suppliers to disclose commercially sensitive process information.</w:t>
      </w:r>
    </w:p>
    <w:p w14:paraId="2B00003D" w14:textId="77777777" w:rsidR="00CB0F61" w:rsidRDefault="0084011A" w:rsidP="00D424ED">
      <w:r>
        <w:rPr>
          <w:b/>
          <w:bCs/>
        </w:rPr>
        <w:t xml:space="preserve">Cost allocation and economic viability. </w:t>
      </w:r>
      <w:r>
        <w:t xml:space="preserve">Cost and economic viability appear as implicit constraints throughout the consultation but are only occasionally made explicit. The recycler respondent notes that 100% compositional accuracy per batch is not </w:t>
        <w:lastRenderedPageBreak/>
        <w:t>economically viable. The Tier 2 processor notes that near-shoring for traceability is a deliberate premium investment, not a general solution. The workshop notes that PRO/EPR reform is a structural economic precondition for DPP recyclability requirements to have real-world impact. The panel does not resolve the question of who should carry the cost of compliance — this remains one of the most significant unaddressed questions in the current regulatory design. Round 3 did not directly address cost allocation; this is a candidate topic for engagement with policymakers on the basis of the consultation’s findings.</w:t>
      </w:r>
    </w:p>
    <w:p w14:paraId="2B00003E" w14:textId="77777777" w:rsidR="00CB0F61" w:rsidRDefault="0084011A" w:rsidP="002E5251">
      <w:r>
        <w:rPr>
          <w:b/>
          <w:bCs/>
        </w:rPr>
        <w:t xml:space="preserve">The DPP as a necessary but not sufficient condition. </w:t>
      </w:r>
      <w:r>
        <w:t>A fourth theme, less structured but analytically important, emerges from open comments in Round 2: the DPP as a data transparency instrument is insufficient on its own to change recycling behaviour or outcomes. The DPP can make composition data available; it cannot make recycling infrastructure more capable, make PRO/EPR economics work for sorters and recyclers, or ensure that technically recyclable products are not incinerated. This observation does not undermine the case for DPP requirements, but does locate those requirements correctly as a necessary but not sufficient condition for circular economy outcomes in the textile sector.</w:t>
      </w:r>
    </w:p>
    <w:p w14:paraId="2B00003F" w14:textId="77777777" w:rsidR="00CB0F61" w:rsidRDefault="0084011A" w:rsidP="008E63D0">
      <w:r>
        <w:t>Section 5 translates these findings — together with the regulatory baseline from Section 2 — into the compliance and implementation strategy for the M-DPP system, including the two questions Round 3 resolved and the two it documented as persistent disagreements.</w:t>
      </w:r>
    </w:p>
    <w:p w14:paraId="2B000040" w14:textId="77777777" w:rsidR="00CB0F61" w:rsidRDefault="00CB0F61">
      <w:pPr>
        <w:spacing w:after="80"/>
      </w:pPr>
    </w:p>
    <w:p w14:paraId="1A000024" w14:textId="77777777" w:rsidR="00CB0F61" w:rsidRDefault="0084011A">
      <w:pPr>
        <w:pStyle w:val="Heading1"/>
        <w:pBdr>
          <w:bottom w:val="single" w:sz="4" w:space="4" w:color="1F4E79"/>
        </w:pBdr>
      </w:pPr>
      <w:bookmarkStart w:id="55" w:name="_Toc232001098"/>
      <w:r>
        <w:t>5. Compliance and Implementation Strategy</w:t>
      </w:r>
      <w:bookmarkEnd w:id="55"/>
    </w:p>
    <w:p w14:paraId="5C000001" w14:textId="77777777" w:rsidR="00CB0F61" w:rsidRDefault="0084011A">
      <w:pPr>
        <w:pStyle w:val="Heading2"/>
      </w:pPr>
      <w:bookmarkStart w:id="56" w:name="_Toc_s5_1"/>
      <w:bookmarkStart w:id="57" w:name="_Toc232001099"/>
      <w:r>
        <w:t>5.1  Compliance Baseline: Mandatory and Priority Requirements</w:t>
      </w:r>
      <w:bookmarkEnd w:id="56"/>
      <w:bookmarkEnd w:id="57"/>
    </w:p>
    <w:p w14:paraId="5C000002" w14:textId="77777777" w:rsidR="00CB0F61" w:rsidRDefault="0084011A" w:rsidP="008E63D0">
      <w:r>
        <w:t>The compliance baseline for the M-DPP system is defined by the intersection of three evidence streams: the ESPR regulatory requirements established in Section 2; the data content and granularity proposals from the JRC preparatory study for the textile delegated act (González-Torres &amp; Arcipowska, 2026), summarised in Tables 1 and 2 of Section 3; and the feasibility and desirability assessments from the Delphi stakeholder consultation in Section 4. Taken together, these streams produce a clear picture of what is both required and realistic ahead of the delegated act tentatively anticipated in 2027.</w:t>
      </w:r>
    </w:p>
    <w:p w14:paraId="5C000003" w14:textId="77777777" w:rsidR="00CB0F61" w:rsidRDefault="0084011A" w:rsidP="008E63D0">
      <w:r>
        <w:t>The mandatory core of a compliant textile DPP comprises five elements. Four of them — product identification, producer and facility identification, fibre composition, and basic sustainability parameters — are documented in the textile content study as having high or moderate existing data availability; the fifth, substances of concern, is documented as having low readiness, because concentration and location data are not currently available in a form that can be disclosed reliably and proportionately (González-Torres &amp; Arcipowska, 2026). The five are: unique product identification (GTIN-compliant; the study proposes the batch identifier as the minimum registered identifier, populated with batch- or model-level information according to each field, with item-level identifiers voluntary); producer and facility identification (operator and facility identifiers, batch-level); fibre composition (machine-readable, model-level, already required under the Textile Labelling Regulation); substances of concern (batch-level; the substance name and concentration are public while the location is restricted to legitimate-interest actors); and basic sustainability-related parameters (at minimum recycled content declaration and recyclability score, model-level). These five elements map directly to the highest cross-use-case data fields identified in Table 1 of Section 3, with the low readiness of substances-of-concern data being precisely the kind of gap the M-DPP verification layer is positioned to help close over time.</w:t>
      </w:r>
    </w:p>
    <w:p w14:paraId="5C000004" w14:textId="77777777" w:rsidR="00CB0F61" w:rsidRDefault="0084011A" w:rsidP="00907F37">
      <w:r>
        <w:t>The Delphi consultation’s clearest normative finding is that product-level material composition data traceable to the supplying partner should be required under the DPP, with unanimous agreement across all eleven Round 2 respondents. This directly confirms composition traceability as the highest-priority data requirement from a stakeholder-validation perspective, consistent with its regulatory centrality. The Delphi’s near-consensus on production-step country or region reporting (Q5.1: nine of eleven rate it feasible and should-be-required) adds location-level environmental data as the highest-confidence additional requirement.</w:t>
      </w:r>
    </w:p>
    <w:p w14:paraId="5C000005" w14:textId="77777777" w:rsidR="00CB0F61" w:rsidRDefault="0084011A" w:rsidP="00AC1137">
      <w:r>
        <w:lastRenderedPageBreak/>
        <w:t>Verification of composition claims — the M-DPP project’s specific contribution — is not yet a formal mandatory element under the draft regulatory framework; the ESPR establishes that the responsible economic operator is liable for the accuracy of DPP data but does not currently mandate independent third-party verification at the point of manufacture. However, eight of eleven Delphi respondents said independent verification should be mandatory, placing it in the high-priority category for Section 5’s recommendations even absent a current explicit regulatory requirement. The M-DPP system’s architecture is therefore designed to enable verification as an immediately deployable optional layer that can become mandatory compliance infrastructure once the regulatory framework catches up.</w:t>
      </w:r>
    </w:p>
    <w:p w14:paraId="5C000006" w14:textId="77777777" w:rsidR="00CB0F61" w:rsidRDefault="0084011A">
      <w:pPr>
        <w:pStyle w:val="Heading2"/>
      </w:pPr>
      <w:bookmarkStart w:id="58" w:name="_Toc_s5_2"/>
      <w:bookmarkStart w:id="59" w:name="_Toc232001100"/>
      <w:r>
        <w:t>5.2  Phased Implementation Logic</w:t>
      </w:r>
      <w:bookmarkEnd w:id="58"/>
      <w:bookmarkEnd w:id="59"/>
    </w:p>
    <w:p w14:paraId="5C000007" w14:textId="1BF01C1F" w:rsidR="00CB0F61" w:rsidRDefault="0084011A" w:rsidP="00A25A80">
      <w:r>
        <w:t xml:space="preserve">The implementation timeline for textile DPPs is structured around two regulatory anchors and one practical readiness boundary. The textile delegated act is tentatively anticipated in 2027 (González-Torres &amp; Arcipowska, 2026); the sources do not specify whether that date marks its adoption or its entry into application, nor the length of any transition period that would follow. The CEN/CENELEC JTC 24 standards underpinning DPP technical architecture are expected to be published from 2026 onwards. The M-DPP project itself runs through mid-2027. Rather than pin the phasing to inferred compliance dates, the logic that matters here is ordinal and holds regardless of the exact calendar: the M-DPP living lab phase concludes around the point at which the delegated act is expected, positioning its outputs as pre-competitive reference infrastructure that is ready before mandatory compliance takes effect rather than as a finished compliance product.</w:t>
      </w:r>
    </w:p>
    <w:p w14:paraId="5C000008" w14:textId="77777777" w:rsidR="00CB0F61" w:rsidRDefault="0084011A" w:rsidP="000737E6">
      <w:r>
        <w:t>A three-horizon phasing framework best describes the implementation trajectory implied by the evidence in this report.</w:t>
      </w:r>
    </w:p>
    <w:p w14:paraId="5C000009" w14:textId="77777777" w:rsidR="00CB0F61" w:rsidRDefault="0084011A" w:rsidP="000737E6">
      <w:r>
        <w:rPr>
          <w:b/>
          <w:bCs/>
        </w:rPr>
        <w:t xml:space="preserve">Horizon 1: Pre-mandatory capability building (until the delegated act applies). </w:t>
      </w:r>
      <w:r>
        <w:t>This horizon corresponds to the pre-mandatory period. Organisations are building DPP capability voluntarily: 31% of Dutch DPP ecosystem participants have already launched DPP solutions, mostly self-funded (INNOPAY/CoE-DPP, 2025). For the M-DPP project, this is the living lab and validation phase. The priority is to establish the molecular reference database for wool (WP2), demonstrate the API-mediated verification workflow between HAN and a DPP system (WP3), and conduct industry pilot testing and comparative certification benchmarking (WP4). The compliance baseline from Section 5.1 provides the design requirements for this phase. Recycled content verification, while analytically important, is outside the scope of this phase given the structural challenges documented in both the Delphi consultation and the JRC preparatory study.</w:t>
      </w:r>
    </w:p>
    <w:p w14:paraId="5C00000A" w14:textId="77777777" w:rsidR="00CB0F61" w:rsidRDefault="0084011A" w:rsidP="00D64103">
      <w:r>
        <w:rPr>
          <w:b/>
          <w:bCs/>
        </w:rPr>
        <w:t xml:space="preserve">Horizon 2: Mandatory compliance (once the delegated act applies). </w:t>
      </w:r>
      <w:r>
        <w:t>Following the textile delegated act’s entry into application, the compliance period requires all textile products placed on the EU market to carry a compliant DPP. The M-DPP system’s WP3 layer is designed to be deployable as an extension to a compliant core DPP rather than a standalone system, meaning it can be adopted by operators who have already invested in base DPP compliance. The declared/evidenced distinction for fibre composition — the M-DPP core value proposition — becomes operationally significant precisely when mandatory DPP filing creates the incentive for actors to submit inaccurate composition data, and when market surveillance authorities need a technically defensible mechanism for verification. The Delphi’s finding that eight of eleven respondents support mandatory independent verification suggests strong normative pressure for this capability to become a formal requirement in the first or second revision of the delegated act.</w:t>
      </w:r>
    </w:p>
    <w:p w14:paraId="5C00000B" w14:textId="77777777" w:rsidR="00CB0F61" w:rsidRDefault="0084011A" w:rsidP="003B4D2A">
      <w:r>
        <w:rPr>
          <w:b/>
          <w:bCs/>
        </w:rPr>
        <w:t xml:space="preserve">Horizon 3: Circular economy maturity (post-compliance). </w:t>
      </w:r>
      <w:r>
        <w:t xml:space="preserve">In the years after mandatory DPP filing is established, the DPP ecosystem matures into a data infrastructure supporting circular economy business models: recyclers using composition data for sorting and chemical recycling processes; brands using footprint data for product redesign; market surveillance using traceability data for enforcement. The Delphi consultation notes that recyclability index and DPP-linked </w:t>
        <w:lastRenderedPageBreak/>
        <w:t>recycling infrastructure will only be meaningful in this horizon, once the data flows are established and the economic incentives for circularity are better aligned. For M-DPP, this horizon represents the extension of the molecular fingerprinting approach to additional fibre types and blends, and potentially to recycled content verification as analytical methods and throughput economics mature.</w:t>
      </w:r>
    </w:p>
    <w:p w14:paraId="5C00000C" w14:textId="77777777" w:rsidR="00CB0F61" w:rsidRDefault="0084011A">
      <w:pPr>
        <w:pStyle w:val="Heading2"/>
      </w:pPr>
      <w:bookmarkStart w:id="60" w:name="_Toc_s5_3"/>
      <w:bookmarkStart w:id="61" w:name="_Toc232001101"/>
      <w:r>
        <w:t>5.3  System Architecture Requirements: ESPR Alignment and Interoperability</w:t>
      </w:r>
      <w:bookmarkEnd w:id="60"/>
      <w:bookmarkEnd w:id="61"/>
    </w:p>
    <w:p w14:paraId="5C00000D" w14:textId="77777777" w:rsidR="00CB0F61" w:rsidRDefault="0084011A" w:rsidP="003B4D2A">
      <w:r>
        <w:t>The ESPR establishes non-functional requirements for DPP systems that directly constrain the M-DPP architecture. Article 10(1)(d) requires that all DPP data use open, standard, interoperable and machine-readable formats and be transferable through open networks without vendor lock-in. This rules out proprietary closed formats as the primary DPP interface and requires that the M-DPP API layer (WP3) expose data in formats compatible with the emerging JTC 24 standards. The Maigre et al. (2025) CIRPASS-2 Ontology Requirements Specification provides the most concrete current reference for a DPP-compatible data vocabulary, and GS1’s product and location identifier standards provide the identifier backbone (Section 2 and Annex A.3–A.5).</w:t>
      </w:r>
    </w:p>
    <w:p w14:paraId="5C00000E" w14:textId="77777777" w:rsidR="00CB0F61" w:rsidRDefault="0084011A" w:rsidP="00511B6F">
      <w:r>
        <w:t>The WP3 three-layer architecture — a core DPP layer, an M-DPP composition claims extension, and a laboratory/HAN layer — is structurally ESPR-aligned: the core layer carries the mandatory regulatory data, the M-DPP extension carries the verification claim linking a composition declaration to a test execution, and the HAN layer holds the test specifications and molecular reference fingerprints in an independent, HAN-managed data store. This separation ensures that the M-DPP extension does not introduce proprietary dependencies into the compliant core DPP, satisfying the ESPR’s open-architecture principle.</w:t>
      </w:r>
    </w:p>
    <w:p w14:paraId="00000000" w14:textId="77777777" w:rsidR="00CB0F61" w:rsidRDefault="0084011A" w:rsidP="002D7FF9">
      <w:r>
        <w:t>One governance constraint from the final textile study shapes how this extension should be framed. The study restricts voluntary DPP entries to non-sustainability information unless a sustainability indicator is explicitly defined in the preparatory study and incorporated into the delegated act, an anti-greenwashing measure intended to ensure that only harmonised, methodologically sound indicators appear (González-Torres &amp; Arcipowska, 2026). The implication for M-DPP is that its composition-claims extension should be positioned not as a voluntary sustainability indicator but as verification documentation attached to a regulated data point — fibre composition — for which a definition and reference methodology already exist. Framed this way, the molecular evidence record strengthens the credibility of a mandatory field rather than introducing a new, unharmonised sustainability claim, which keeps it on the right side of the study’s restriction and avoids the greenwashing risk the restriction is designed to prevent.</w:t>
      </w:r>
    </w:p>
    <w:p w14:paraId="5C00000F" w14:textId="77777777" w:rsidR="00CB0F61" w:rsidRDefault="0084011A" w:rsidP="002D7FF9">
      <w:r>
        <w:t>The DPP Registry interaction model established in WP3 — registering a DPP, updating product composition, assigning composition claims at model/batch/item level, and linking claims to test executions via token — is consistent with the JRC methodology’s decentralised storage architecture: the responsible economic operator stores and manages DPP data, the EU Registry holds only the pointer (unique product identifier and data carrier link), and access to detailed data is mediated through the access rights model. The M-DPP extension layer is held by the responsible economic operator rather than by HAN, with HAN providing the evidential test record independently and the token-based retrieval mechanism allowing the claim and its evidence to be verifiably linked without centralising sensitive data.</w:t>
      </w:r>
    </w:p>
    <w:p w14:paraId="5C000010" w14:textId="77777777" w:rsidR="00CB0F61" w:rsidRDefault="0084011A">
      <w:pPr>
        <w:pBdr>
          <w:top w:val="single" w:sz="4" w:space="0" w:color="1F4E79"/>
          <w:left w:val="thick" w:sz="8" w:space="6" w:color="1F4E79"/>
          <w:bottom w:val="single" w:sz="4" w:space="0" w:color="1F4E79"/>
          <w:right w:val="single" w:sz="4" w:space="0" w:color="1F4E79"/>
        </w:pBdr>
        <w:shd w:val="clear" w:color="auto" w:fill="E9F0F8"/>
        <w:jc w:val="both"/>
      </w:pPr>
      <w:r>
        <w:rPr>
          <w:b/>
          <w:bCs/>
          <w:color w:val="1F4E79"/>
        </w:rPr>
        <w:t xml:space="preserve">Forward-looking: </w:t>
      </w:r>
      <w:r>
        <w:rPr>
          <w:color w:val="1F4E79"/>
        </w:rPr>
        <w:t>The specific data format standards and API specifications for the textile DPP will be finalised by CEN/CENELEC JTC 24 and reflected in the delegated act. WP3 design decisions that depend on these specifications — in particular the credential issuance model and the precise data schema for composition claims — should be revisited against the first JTC 24 publications once available. See Annex A.5 and A.10 for the current state of knowledge on these questions.</w:t>
      </w:r>
    </w:p>
    <w:p w14:paraId="5C000011" w14:textId="77777777" w:rsidR="00CB0F61" w:rsidRDefault="0084011A">
      <w:pPr>
        <w:pStyle w:val="Heading2"/>
      </w:pPr>
      <w:bookmarkStart w:id="62" w:name="_Toc_s5_4"/>
      <w:bookmarkStart w:id="63" w:name="_Toc232001102"/>
      <w:r>
        <w:t>5.4  WP2: The Molecular Reference Database</w:t>
      </w:r>
      <w:bookmarkEnd w:id="62"/>
      <w:bookmarkEnd w:id="63"/>
    </w:p>
    <w:p w14:paraId="5C000012" w14:textId="68EF377C" w:rsidR="00CB0F61" w:rsidRDefault="0084011A" w:rsidP="00EB1509">
      <w:r>
        <w:t>Work Package 2, led by Tilman Todt at HAN University of Applied Sciences, is developing the molecular material fingerprint database that constitutes the analytical core of the M-DPP verification mechanism. WP2’s scope encompasses three components: material fingerprinting using multiple analytical methods; an open-access textile molecular material dataset; and an AI-assisted classification layer using machine learning models for fibre verification.</w:t>
      </w:r>
    </w:p>
    <w:p w14:paraId="5C000013" w14:textId="77777777" w:rsidR="00CB0F61" w:rsidRDefault="0084011A" w:rsidP="00EB1509">
      <w:r>
        <w:t xml:space="preserve">The primary analytical method in the current phase is proteomics via liquid chromatography–mass spectrometry (LC-MS). The target material is wool, specifically </w:t>
        <w:lastRenderedPageBreak/>
        <w:t>the keratin protein profile of wool fibres derived from domestic sheep (Ovis aries). The reference set is built from protein sequences corresponding to the 24 official keratin proteins used to characterise sheep wool — the molecular signature that constitutes the wool “fingerprint”. Identification operates at breed level: the reference database is organised by fibre type and sub-type (sheep breed), meaning the system can in principle distinguish not only wool from non-wool but also breed-level provenance, which carries significant implications for claims about fibre quality, origin, and premium textile labelling. FTIR spectroscopy and GC-MS are also within the WP2 method scope and will be used for cotton, synthetic fibres, and blends as the database is extended beyond wool in later phases.</w:t>
      </w:r>
    </w:p>
    <w:p w14:paraId="5C000014" w14:textId="0B54524D" w:rsidR="00CB0F61" w:rsidRDefault="0084011A" w:rsidP="00DB2F55">
      <w:r>
        <w:t>The principal technical challenge at the current stage is bringing wool fibres into solution. The keratin proteins in wool are highly cross-linked and resistant to standard dissolution protocols. The WP2 team is testing natural solvents, drawing on experience from dissolving lignin — a structurally analogous plant-based polymer — where a similar approach was applied successfully. Once dissolution is achieved, proteomics measurement can proceed and the automated comparison to reference fingerprints can be built. As of June 2026, the internal database system is nearly ready for use; the external API for M-DPP partners is in testing; and automated reference comparison is planned to begin in September 2026.</w:t>
      </w:r>
    </w:p>
    <w:p w14:paraId="5C000015" w14:textId="77777777" w:rsidR="00CB0F61" w:rsidRDefault="0084011A" w:rsidP="00F44E4D">
      <w:r>
        <w:t>Several design parameters of the WP2 database are directly relevant to how composition verification data is represented in a DPP. First, the reference granularity is by fibre type and sub-type rather than by batch or production lot: this means that a proteomics-based composition claim is a species/breed-level identification (“wool from Ovis aries, Merino breed”), not a batch-specific traceability assertion. This is analytically appropriate for fibre composition verification — the claim being verified is “this product contains wool” rather than “this product’s wool came from farm X” — and it maps cleanly to the model-level granularity proposed in the JRC preparatory study for fibre composition data (Table 2, Section 3). The molecular evidence record attached to a DPP composition claim would therefore declare the method (proteomics/LC-MS), the reference set used, and the match result, without requiring batch-specific provenance data from upstream suppliers.</w:t>
      </w:r>
    </w:p>
    <w:p w14:paraId="5C000016" w14:textId="77777777" w:rsidR="00CB0F61" w:rsidRDefault="0084011A" w:rsidP="00F44E4D">
      <w:r>
        <w:t>Second, recycled material is outside the scope of WP2 in the current project phase. This is a deliberate scope decision reflecting both the analytical complexity of recycled fibre identification — where input material is mixed and provenance is by definition absent — and the infrastructure maturity constraints documented in the Delphi consultation (Section 4.3.3). The recyclability and recycled content verification use case remains an important medium-term application of molecular characterisation, but it requires a different analytical approach (potentially spectroscopic rather than proteomic, given the degraded protein state of post-consumer wool) and is correctly treated as a future phase rather than a current project output.</w:t>
      </w:r>
    </w:p>
    <w:p w14:paraId="5C000017" w14:textId="77777777" w:rsidR="00CB0F61" w:rsidRDefault="0084011A" w:rsidP="006E18B3">
      <w:r>
        <w:t>Third, the WP4 deployment and validation work — also HAN-led — will test the M-DPP system against existing certification standards through comparative certification analysis. This is analytically significant: it will produce the first direct comparison between a molecularly evidenced composition claim and a conventionally certified composition claim, generating evidence on whether the M-DPP approach can substitute for, supplement, or supersede current certification mechanisms for the specific fibre type in scope.</w:t>
      </w:r>
    </w:p>
    <w:p w14:paraId="5C000018" w14:textId="77777777" w:rsidR="00CB0F61" w:rsidRDefault="0084011A">
      <w:pPr>
        <w:pBdr>
          <w:top w:val="single" w:sz="4" w:space="0" w:color="1F4E79"/>
          <w:left w:val="thick" w:sz="8" w:space="6" w:color="1F4E79"/>
          <w:bottom w:val="single" w:sz="4" w:space="0" w:color="1F4E79"/>
          <w:right w:val="single" w:sz="4" w:space="0" w:color="1F4E79"/>
        </w:pBdr>
        <w:shd w:val="clear" w:color="auto" w:fill="E9F0F8"/>
        <w:jc w:val="both"/>
      </w:pPr>
      <w:r>
        <w:rPr>
          <w:b/>
          <w:bCs/>
          <w:color w:val="1F4E79"/>
        </w:rPr>
        <w:t xml:space="preserve">Forward-looking: </w:t>
      </w:r>
      <w:r>
        <w:rPr>
          <w:color w:val="1F4E79"/>
        </w:rPr>
        <w:t xml:space="preserve">The following remain open pending further WP2 reporting: (a) the confidence score methodology — specifically how match quality against the reference set is translated into a graded or binary verification result for DPP purposes; (b) throughput and cost parameters per sample, which are needed to assess deployment feasibility at recycling-plant or quality-control scale; and (c) the scope of the AI/ML classification layer and its </w:t>
        <w:lastRenderedPageBreak/>
        <w:t>relationship to the proteomics method. These questions will be addressed in WP2’s internal milestone reports and should be incorporated into any future revision of this section.</w:t>
      </w:r>
    </w:p>
    <w:p w14:paraId="5C000019" w14:textId="77777777" w:rsidR="00CB0F61" w:rsidRDefault="0084011A">
      <w:pPr>
        <w:pStyle w:val="Heading2"/>
      </w:pPr>
      <w:bookmarkStart w:id="64" w:name="_Toc_s5_5"/>
      <w:bookmarkStart w:id="65" w:name="_Toc232001103"/>
      <w:r>
        <w:t>5.5  WP3: DPP Software and API Layer</w:t>
      </w:r>
      <w:bookmarkEnd w:id="64"/>
      <w:bookmarkEnd w:id="65"/>
    </w:p>
    <w:p w14:paraId="5C00001A" w14:textId="77777777" w:rsidR="00CB0F61" w:rsidRDefault="0084011A" w:rsidP="00910D32">
      <w:r>
        <w:t>Work Package 3, led by Marcio Fückner with Martijn de Bruin (both HAN/M-DPP consortium), has defined the architecture and core capabilities of the M-DPP software layer as of June 2026. The architecture follows the three-layer model described in Section 5.3: a core DPP layer (economic operator’s product identity), an M-DPP extension layer (composition claims and their links to test evidence), and a laboratory/HAN layer (test specifications, test executions, reference fingerprints). This separation is the fundamental design choice that keeps the M-DPP system ESPR-compatible: the core DPP layer carries the regulatory-compliant DPP data; the M-DPP extension adds the verification claim as an optional additional layer; and the HAN layer holds sensitive analytical data independently, accessed via token (Fückner &amp; de Bruin, 2026).</w:t>
      </w:r>
    </w:p>
    <w:p w14:paraId="5C00001B" w14:textId="77777777" w:rsidR="00CB0F61" w:rsidRDefault="0084011A" w:rsidP="00B0536B">
      <w:r>
        <w:t>The core flows currently defined in WP3 cover four operations: registering DPPs with unique product and operator identifiers at model, batch, and item level; updating product composition data; assigning composition claims at the appropriate granularity level and linking those claims to specific test executions; and retrieving test evidence via a token-based access mechanism. Three HAN API contracts are scoped: reference lookup (querying the WP2 database for a known fibre profile); retrieval of existing test results by token (allowing a claim-holder to attach a prior test execution to a new DPP entry); and initiating a new test from a product data specification (triggering a laboratory analysis and receiving a result record).</w:t>
      </w:r>
    </w:p>
    <w:p w14:paraId="5C00001C" w14:textId="77777777" w:rsidR="00CB0F61" w:rsidRDefault="0084011A" w:rsidP="00B0536B">
      <w:r>
        <w:t>From a DPP compliance perspective, the WP3 design directly addresses the declared-versus-evidenced distinction identified throughout this report as the central structural weakness of current DPP data quality. The composition claim object in the M-DPP layer holds both the declared composition (sourced from supplier declaration or existing labelling data) and a link to the test execution that evidences it, with explicit metadata distinguishing the two. This design means that market surveillance authorities, recyclers, and supply chain partners with appropriate access rights can see not just what a product claims to contain, but what has been independently verified and by what method.</w:t>
      </w:r>
    </w:p>
    <w:p w14:paraId="5C00001D" w14:textId="77777777" w:rsidR="00CB0F61" w:rsidRDefault="0084011A" w:rsidP="00014C08">
      <w:r>
        <w:t>The open design questions in WP3 as of June 2026 concern access rights, credentials, decentralised verification, identifier architecture, and data standards alignment. These are documented in detail in Annex A.9 and A.10 of this report. The most significant unresolved question is the trust model: who issues credentials to actors in the DPP ecosystem (recyclers, market surveillance authorities, supply chain partners), how roles are assigned and verified, and how private test evidence is selectively disclosed to different access tiers. This question cannot be fully resolved within WP3 alone — it depends on the credential governance decisions made in the textile delegated act and in JTC 24 — but WP3 should design for flexibility, enabling multiple credential issuance models to be plugged in as the regulatory framework clarifies.</w:t>
      </w:r>
    </w:p>
    <w:p w14:paraId="5C00001E" w14:textId="77777777" w:rsidR="00CB0F61" w:rsidRDefault="0084011A">
      <w:pPr>
        <w:pBdr>
          <w:top w:val="single" w:sz="4" w:space="0" w:color="1F4E79"/>
          <w:left w:val="thick" w:sz="8" w:space="6" w:color="1F4E79"/>
          <w:bottom w:val="single" w:sz="4" w:space="0" w:color="1F4E79"/>
          <w:right w:val="single" w:sz="4" w:space="0" w:color="1F4E79"/>
        </w:pBdr>
        <w:shd w:val="clear" w:color="auto" w:fill="E9F0F8"/>
        <w:jc w:val="both"/>
      </w:pPr>
      <w:r>
        <w:rPr>
          <w:b/>
          <w:bCs/>
          <w:color w:val="1F4E79"/>
        </w:rPr>
        <w:t xml:space="preserve">Note: </w:t>
      </w:r>
      <w:r>
        <w:rPr>
          <w:color w:val="1F4E79"/>
        </w:rPr>
        <w:t>Delphi Round 3 informs the governance question only partially. On who should oversee independent verification, the panel divided into two three-vote camps — an EU or government body versus an industry standards body such as CEN or ISO — a persistent disagreement rather than a resolution (Section 4.4.1). This gives WP3 a stakeholder-side signal — and a clear articulation of the underlying trade-off between regulatory enforcement power and global reach across a supply chain that EU instruments do not fully bind — but it does not settle the credential-issuance and role-assignment mechanism, which depends on the textile delegated act and JTC 24 standardisation. WP3 should therefore design for credential-model flexibility, as set out in Annex A.10, and revisit the specific mechanism once the first JTC 24 publications are available.</w:t>
      </w:r>
    </w:p>
    <w:p w14:paraId="5C00001F" w14:textId="77777777" w:rsidR="00CB0F61" w:rsidRDefault="0084011A">
      <w:pPr>
        <w:pStyle w:val="Heading2"/>
      </w:pPr>
      <w:bookmarkStart w:id="66" w:name="_Toc_s5_6"/>
      <w:bookmarkStart w:id="67" w:name="_Toc232001104"/>
      <w:r>
        <w:t>5.6  Risk Areas and Mitigation</w:t>
      </w:r>
      <w:bookmarkEnd w:id="66"/>
      <w:bookmarkEnd w:id="67"/>
    </w:p>
    <w:p w14:paraId="5C000020" w14:textId="77777777" w:rsidR="00CB0F61" w:rsidRDefault="0084011A" w:rsidP="00014C08">
      <w:r>
        <w:t>Three risk areas are identified as warranting explicit attention in the M-DPP project’s implementation strategy.</w:t>
      </w:r>
    </w:p>
    <w:p w14:paraId="5C000021" w14:textId="77777777" w:rsidR="00CB0F61" w:rsidRDefault="0084011A" w:rsidP="00014C08">
      <w:r>
        <w:rPr>
          <w:b/>
          <w:bCs/>
        </w:rPr>
        <w:lastRenderedPageBreak/>
        <w:t xml:space="preserve">Regulatory timeline uncertainty. </w:t>
      </w:r>
      <w:r>
        <w:t>The textile delegated act timeline carries a 12–18 month uncertainty band. The Delphi consultation found that 63% of Dutch DPP ecosystem participants identify legislative clarity as the primary market need (INNOPAY/CoE-DPP, 2025), and earlier EU sustainability regulation pivots have already eroded trust in announced timelines. A delay to the delegated act would extend the pre-mandatory phase and reduce the urgency signal that drives voluntary adoption. For M-DPP, this risk is partially mitigated by the project’s design: the living lab outputs are intended as pre-competitive infrastructure rather than compliance products, and the molecular reference database (WP2) has scientific and commercial value independent of any specific regulatory requirement. The risk is not existential to the project but could affect the speed of uptake among industry partners in WP4’s pilot testing phase.</w:t>
      </w:r>
    </w:p>
    <w:p w14:paraId="5C000022" w14:textId="77777777" w:rsidR="00CB0F61" w:rsidRDefault="0084011A" w:rsidP="00014C08">
      <w:r>
        <w:rPr>
          <w:b/>
          <w:bCs/>
        </w:rPr>
        <w:t xml:space="preserve">SME accessibility and cost burden. </w:t>
      </w:r>
      <w:r>
        <w:t>The Delphi consultation and the Adoption Pulse consistently identify SMEs as structurally vulnerable to DPP compliance requirements. The vast majority of Dutch businesses subject to ESPR are micro- or small enterprises; the certification systems currently available are designed for large-scale, repeatable production runs and impose disproportionate costs on small-batch and on-demand producers (Q2.4). The M-DPP system, if not deliberately designed for SME accessibility, risks becoming usable only by larger brands with the resources to manage a proteomics verification workflow. Two design mitigations are relevant: first, the token-based test result retrieval model in WP3 means that a small brand need not run tests themselves — they can commission a test from HAN or an accredited partner and attach the result to their DPP entry. Second, the phased approach (model-level composition claim as mandatory baseline; molecular verification as optional extension) means that an SME can achieve basic compliance without M-DPP verification, while M-DPP provides a mechanism for those who want to make evidenced claims.</w:t>
      </w:r>
    </w:p>
    <w:p w14:paraId="5C000023" w14:textId="77777777" w:rsidR="00CB0F61" w:rsidRDefault="0084011A" w:rsidP="00014C08">
      <w:r>
        <w:rPr>
          <w:b/>
          <w:bCs/>
        </w:rPr>
        <w:t xml:space="preserve">Verification integrity and scalability. </w:t>
      </w:r>
      <w:r>
        <w:t>The Delphi consultation’s finding on independent verification (Q1.3) is instructive: eight of eleven respondents said it should be mandatory, but the feasibility distribution was the most evenly spread result in the entire dataset, and there was no dominant view on who should administer a verification system. The risk for M-DPP is that a poorly designed verification claim architecture — one that is difficult to circumvent, interpret, or scale — could undermine the declared/evidenced distinction it is designed to reinforce, either by being too costly to use widely or by providing a false sense of assurance when only a sample of products is tested. The WP4 comparative certification analysis is specifically designed to generate evidence on this question. Its findings will be critical to how the verification claim is positioned in external communications and in any future policy engagement around mandatory independent verification.</w:t>
      </w:r>
    </w:p>
    <w:p w14:paraId="00000000" w14:textId="77777777" w:rsidR="00CB0F61" w:rsidRDefault="0084011A" w:rsidP="00907F37">
      <w:r>
        <w:t>The final textile study reinforces why this positioning matters. It observes that verifying content claims such as recycled or organic content can demand traceability stretching across many tiers of the supply chain, far beyond the economic operator that creates the DPP, and that reliability remains uncertain because each actor typically has visibility only of its immediate suppliers; it further warns that market surveillance authorities could face an overwhelming volume of data to check against limited resources (González-Torres &amp; Arcipowska, 2026). This is, in effect, the JRC stating M-DPP’s own problem statement from the regulator’s side: it is precisely the cross-tier traceability burden that product-level molecular verification is designed to sidestep, by generating evidence at the final product without requiring upstream disclosure. It also tempers the ambition of the verification layer — M-DPP addresses composition verification, not the full chain-of-custody verification that recycled- and organic-content claims ultimately require.</w:t>
      </w:r>
    </w:p>
    <w:p w14:paraId="5C000024" w14:textId="77777777" w:rsidR="00CB0F61" w:rsidRDefault="00CB0F61">
      <w:pPr>
        <w:spacing w:after="80"/>
      </w:pPr>
    </w:p>
    <w:p w14:paraId="5F8E8F0F" w14:textId="77777777" w:rsidR="00CB0F61" w:rsidRDefault="0084011A">
      <w:pPr>
        <w:pStyle w:val="Heading1"/>
        <w:pBdr>
          <w:bottom w:val="single" w:sz="4" w:space="4" w:color="1F4E79"/>
        </w:pBdr>
      </w:pPr>
      <w:bookmarkStart w:id="68" w:name="_Toc232001105"/>
      <w:r>
        <w:t>6. Conclusions</w:t>
      </w:r>
      <w:bookmarkEnd w:id="68"/>
    </w:p>
    <w:p w14:paraId="6D000001" w14:textId="77777777" w:rsidR="00CB0F61" w:rsidRDefault="0084011A">
      <w:pPr>
        <w:pStyle w:val="Heading2"/>
      </w:pPr>
      <w:bookmarkStart w:id="69" w:name="_Toc_s6_1"/>
      <w:bookmarkStart w:id="70" w:name="_Toc232001106"/>
      <w:r>
        <w:t>6.1  Principal Findings</w:t>
      </w:r>
      <w:bookmarkEnd w:id="69"/>
      <w:bookmarkEnd w:id="70"/>
    </w:p>
    <w:p w14:paraId="6D000002" w14:textId="77777777" w:rsidR="00CB0F61" w:rsidRDefault="0084011A" w:rsidP="00014C08">
      <w:r>
        <w:t>This report has established the regulatory, implementation, and stakeholder-validated requirements that the M-DPP system must address. Drawing on the ESPR framework and the JRC preparatory study for the textile delegated act, the Dutch and EU DPP implementation landscape, and two completed rounds of a Delphi stakeholder consultation, five principal findings emerge.</w:t>
      </w:r>
    </w:p>
    <w:p w14:paraId="6D000003" w14:textId="77777777" w:rsidR="00CB0F61" w:rsidRDefault="0084011A" w:rsidP="00014C08">
      <w:r>
        <w:rPr>
          <w:b/>
          <w:bCs/>
        </w:rPr>
        <w:t xml:space="preserve">Finding 1: The regulatory baseline is sufficiently clear to design against. </w:t>
      </w:r>
      <w:r>
        <w:t xml:space="preserve">The ESPR establishes a clear, legally binding framework for textile Digital Product Passports, with the textile delegated act tentatively anticipated in 2027 and the precise compliance date to be set in the act itself. The regulatory requirements are sufficiently well-defined — even prior </w:t>
        <w:lastRenderedPageBreak/>
        <w:t>to the delegated act’s publication — to establish a design baseline: GTIN-compliant unique product identification, operator and facility identifiers, machine-readable fibre composition data, substances-of-concern disclosure, and basic sustainability parameters (recycled content, recyclability score) constitute the mandatory core. The standardisation architecture being developed by CEN/CENELEC JTC 24 will specify the technical implementation layer. The M-DPP system, designed in alignment with this baseline, can be positioned as a compliant extension from its first deployment in the living lab phase.</w:t>
      </w:r>
    </w:p>
    <w:p w14:paraId="6D000004" w14:textId="77777777" w:rsidR="00CB0F61" w:rsidRDefault="0084011A" w:rsidP="007D3F31">
      <w:r>
        <w:rPr>
          <w:b/>
          <w:bCs/>
        </w:rPr>
        <w:t xml:space="preserve">Finding 2: The implementation landscape is more supply-side than demand-side. </w:t>
      </w:r>
      <w:r>
        <w:t>Across the implementation landscape, DPP adoption is supply-side heavy and demand-side thin. Service providers and research projects dominate the Dutch DPP ecosystem; manufacturers, importers, and supply chain actors — those who will carry formal compliance obligations — are underrepresented. Of Dutch DPP frontrunners, 69% had not yet launched an operational DPP as of November 2025. The five barriers to adoption identified in the INNOPAY Adoption Pulse — data gaps, lack of standardisation, resource constraints, regulatory uncertainty, and vendor lock-in hesitance — directly mirror the structural constraints identified in the Delphi consultation. The M-DPP project is well-positioned relative to this landscape: its focus on practice-based evidence, open-access infrastructure, and modular architecture addresses the most widely cited barriers, but adoption strategy for WP4 must account for the fact that the organisations most likely to benefit from molecular verification (brands, quality managers, recyclers) are currently the least engaged in DPP development.</w:t>
      </w:r>
    </w:p>
    <w:p w14:paraId="6D000005" w14:textId="77777777" w:rsidR="00CB0F61" w:rsidRDefault="0084011A" w:rsidP="007D3F31">
      <w:r>
        <w:rPr>
          <w:b/>
          <w:bCs/>
        </w:rPr>
        <w:t xml:space="preserve">Finding 3: Stakeholder consensus is strongest on direction, uncertain on timeline. </w:t>
      </w:r>
      <w:r>
        <w:t>The Delphi consultation’s most analytically durable finding is not any single feasibility rating, but the consistent gap between normative consensus and operational confidence. Across twelve statements and five topic areas, respondents systematically agreed on what should happen while doubting whether it can happen by 2027. The sole clear exception is production-step country or region reporting (Q5.1), where both normative and feasibility assessments were strongly positive. The convergence of regulatory requirements and stakeholder endorsement on this point makes location-level environmental data the most immediately deployable and least contested DPP requirement. By contrast, independent composition verification (Q1.3), recyclability methodology (Q3.1), and shared data standards (Q2.2) remain areas of high normative agreement but uncertain operationalisation — which is precisely where the M-DPP project’s molecular verification approach, the WP3 API layer, and the Delphi’s CEN/ISO governance preference converge as a response.</w:t>
      </w:r>
    </w:p>
    <w:p w14:paraId="6D000006" w14:textId="77777777" w:rsidR="00CB0F61" w:rsidRDefault="0084011A" w:rsidP="007D3F31">
      <w:r>
        <w:rPr>
          <w:b/>
          <w:bCs/>
        </w:rPr>
        <w:t xml:space="preserve">Finding 4: The declared-versus-evidenced gap is the M-DPP project’s structural justification. </w:t>
      </w:r>
      <w:r>
        <w:t>The declared-versus-evidenced distinction, which emerged in Round 1 of the Delphi consultation and was reinforced through the Industry Living Lab workshop, constitutes the conceptual foundation on which the M-DPP project rests. The existing DPP framework — as designed under the ESPR — assigns accountability for data accuracy to the responsible economic operator and creates verification mechanisms for market surveillance authorities, but does not currently mandate independent evidencing at the point of data submission. The structural consequence is that a DPP can be filed with inaccurate composition data — deliberately or through supply chain errors — without any mechanism to detect this before enforcement action. Molecular characterisation addresses this gap directly: by generating an independent evidential signal at the product level, the M-DPP system enables verification without requiring Tier 2 and Tier 3 suppliers to disclose commercially sensitive process information. This positions M-DPP as structurally complementary to the ESPR rather than in tension with it.</w:t>
      </w:r>
    </w:p>
    <w:p w14:paraId="6D000007" w14:textId="77777777" w:rsidR="00CB0F61" w:rsidRDefault="0084011A" w:rsidP="007A04C5">
      <w:r>
        <w:rPr>
          <w:b/>
          <w:bCs/>
        </w:rPr>
        <w:t xml:space="preserve">Finding 5: The M-DPP technical approach is appropriately scoped and regulatory-ready. </w:t>
      </w:r>
      <w:r>
        <w:t xml:space="preserve">The WP2 proteomics approach — using LC-MS measurement of keratin protein sequences to identify wool fibre at breed level — is technically well-scoped for the </w:t>
        <w:lastRenderedPageBreak/>
        <w:t>current phase. Its granularity (fibre type and sub-type, not batch-specific provenance) maps correctly to the model-level granularity proposed for fibre composition data in the JRC preparatory study. Its initial scope (wool, with planned extension to cotton, synthetic fibres, and blends) is consistent with the sector’s existing data readiness and with the regulatory priority given to fibre composition as a mandatory DPP data field. The WP3 three-layer architecture and token-based evidence linkage provide a technically sound mechanism for integrating molecular evidence into a compliant DPP system without introducing proprietary dependencies. The M-DPP project is, at the mid-point of its implementation phase, producing outputs that are both technically credible and regulatory-ready.</w:t>
      </w:r>
    </w:p>
    <w:p w14:paraId="6D000008" w14:textId="77777777" w:rsidR="00CB0F61" w:rsidRDefault="0084011A">
      <w:pPr>
        <w:pStyle w:val="Heading2"/>
      </w:pPr>
      <w:bookmarkStart w:id="71" w:name="_Toc_s6_2"/>
      <w:bookmarkStart w:id="72" w:name="_Toc232001107"/>
      <w:r>
        <w:t>6.2  Key Implementation Gaps</w:t>
      </w:r>
      <w:bookmarkEnd w:id="71"/>
      <w:bookmarkEnd w:id="72"/>
    </w:p>
    <w:p w14:paraId="6D000009" w14:textId="77777777" w:rsidR="00CB0F61" w:rsidRDefault="0084011A" w:rsidP="00F62B12">
      <w:r>
        <w:t>Three gaps require explicit acknowledgement as constraints on both the M-DPP system’s current capabilities and the conclusions that can be drawn from the evidence in this report.</w:t>
      </w:r>
    </w:p>
    <w:p w14:paraId="6D00000A" w14:textId="77777777" w:rsidR="00CB0F61" w:rsidRDefault="0084011A" w:rsidP="00F62B12">
      <w:r>
        <w:rPr>
          <w:b/>
          <w:bCs/>
        </w:rPr>
        <w:t xml:space="preserve">Traceability beyond composition. </w:t>
      </w:r>
      <w:r>
        <w:t>The molecular characterisation approach addresses fibre composition but not supply chain traceability. It can verify that a product contains the fibre types claimed; it cannot verify where those fibres were produced, by whom, or under what conditions. Tier 2 and Tier 3 visibility — the single most consistently cited structural bottleneck in both the Delphi consultation and the JRC preparatory study — requires commercial supplier relationships, voluntary data-sharing agreements, or regulatory compulsion that lies outside the current ESPR scope for intermediate products. The M-DPP system is a partial solution to the DPP data quality problem, not a complete one.</w:t>
      </w:r>
    </w:p>
    <w:p w14:paraId="6D00000B" w14:textId="77777777" w:rsidR="00CB0F61" w:rsidRDefault="0084011A" w:rsidP="000E1821">
      <w:r>
        <w:rPr>
          <w:b/>
          <w:bCs/>
        </w:rPr>
        <w:t xml:space="preserve">Recycled content verification. </w:t>
      </w:r>
      <w:r>
        <w:t>Recycled content verification — which the Delphi consultation consistently identified as structurally harder than virgin fibre verification — is outside the scope of WP2 in the current project phase. The analytical challenge (degraded protein state in post-consumer fibres, mixed-input streams) and the infrastructure challenge (fine sorting at pre-consumer stage) make this a next-phase rather than current-phase capability. The implications for the DPP framework are real: recycled content is a mandated data field under the ESPR, and its verification gap will persist until either dedicated analytical methods for recycled fibre are developed and validated or the regulatory framework accepts declaration-only compliance for recycled content claims.</w:t>
      </w:r>
    </w:p>
    <w:p w14:paraId="6D00000C" w14:textId="77777777" w:rsidR="00CB0F61" w:rsidRDefault="0084011A" w:rsidP="00E84A8D">
      <w:r>
        <w:rPr>
          <w:b/>
          <w:bCs/>
        </w:rPr>
        <w:t xml:space="preserve">Credential governance. </w:t>
      </w:r>
      <w:r>
        <w:t>The governance architecture for DPP credential issuance — who authenticates actors, assigns roles, and authorises access to different data tiers — is unresolved at both the regulatory level (pending the textile delegated act and JTC 24 standardisation) and the WP3 design level (identified as the primary open design question in June 2026). Delphi Round 3 sharpened the stakeholder dimension of this gap without closing it: asked who should oversee independent verification, the panel split evenly between an EU or government body and an industry standards body such as CEN or ISO, reproducing the underlying tension between enforcement power and global reach rather than resolving it. The M-DPP system can be designed for credential-model flexibility, but a final architecture cannot be specified until the delegated act and JTC 24 standardisation settle the governance framework. This constraint applies across the sector, not only to M-DPP.</w:t>
      </w:r>
    </w:p>
    <w:p w14:paraId="6D00000D" w14:textId="77777777" w:rsidR="00CB0F61" w:rsidRDefault="0084011A">
      <w:pPr>
        <w:pStyle w:val="Heading2"/>
      </w:pPr>
      <w:bookmarkStart w:id="73" w:name="_Toc_s6_3"/>
      <w:bookmarkStart w:id="74" w:name="_Toc232001108"/>
      <w:r>
        <w:t>6.3  Next Steps</w:t>
      </w:r>
      <w:bookmarkEnd w:id="73"/>
      <w:bookmarkEnd w:id="74"/>
    </w:p>
    <w:p w14:paraId="6D00000E" w14:textId="77777777" w:rsidR="00CB0F61" w:rsidRDefault="0084011A" w:rsidP="00E84A8D">
      <w:r>
        <w:t>The immediate next steps for the M-DPP project follow from the findings and gaps above. They are organised by work package.</w:t>
      </w:r>
    </w:p>
    <w:p w14:paraId="6D00000F" w14:textId="77777777" w:rsidR="00CB0F61" w:rsidRDefault="0084011A" w:rsidP="00E84A8D">
      <w:r>
        <w:rPr>
          <w:b/>
          <w:bCs/>
        </w:rPr>
        <w:t xml:space="preserve">WP1. </w:t>
      </w:r>
      <w:r>
        <w:t xml:space="preserve">With Delphi Round 3 incorporated into Section 4 and Section 5.5, the WP1 consultation is complete. Round 3 addressed the four questions that remained contested after Round 2: it resolved the phasing of the microfibre and nanoplastic data requirement (conditional acceptance, seven of eight) and the packaging structure question (a fully separate packaging DPP, six of eight), and it documented two persistent disagreements — the governance body for independent verification and the recyclability reporting timeline — as findings in their own right. </w:t>
        <w:lastRenderedPageBreak/>
        <w:t>These outcomes complete the Delphi synthesis: the two resolutions firm up the corresponding conclusions in the compliance strategy, and the two persistent disagreements are carried forward as documented trade-offs for policy engagement rather than as items awaiting resolution.</w:t>
      </w:r>
    </w:p>
    <w:p w14:paraId="6D000010" w14:textId="77777777" w:rsidR="00CB0F61" w:rsidRDefault="0084011A" w:rsidP="00E84A8D">
      <w:r>
        <w:rPr>
          <w:b/>
          <w:bCs/>
        </w:rPr>
        <w:t xml:space="preserve">WP2. </w:t>
      </w:r>
      <w:r>
        <w:t>WP2 will complete the dissolution protocol for wool fibres, proceed to LC-MS measurement, and build the automated comparison to the keratin reference set beginning September 2026. The external API for M-DPP partners is in testing. Priorities for the next phase are: confirming the confidence score methodology and its translation into a verification result for DPP purposes; establishing the throughput and cost parameters that determine deployment feasibility; and beginning the extension of the reference database to cotton and synthetic fibre profiles.</w:t>
      </w:r>
    </w:p>
    <w:p w14:paraId="6D000011" w14:textId="77777777" w:rsidR="00CB0F61" w:rsidRDefault="0084011A" w:rsidP="00E84A8D">
      <w:r>
        <w:rPr>
          <w:b/>
          <w:bCs/>
        </w:rPr>
        <w:t xml:space="preserve">WP3. </w:t>
      </w:r>
      <w:r>
        <w:t>WP3 will resolve the open design questions on access rights, credentials, and decentralised verification, informed by the Delphi Round 3 finding that the sector has not converged on a single verification-governance body and by the first JTC 24 publications once available. The three HAN API contracts (reference lookup, test result retrieval by token, and test initiation from specification) provide the immediate integration target. The WP3 output — a tested, documented API layer connecting a compliant DPP to HAN’s molecular laboratory — is the operational heart of the M-DPP system.</w:t>
      </w:r>
    </w:p>
    <w:p w14:paraId="6D000012" w14:textId="77777777" w:rsidR="00CB0F61" w:rsidRDefault="0084011A" w:rsidP="00E84A8D">
      <w:r>
        <w:rPr>
          <w:b/>
          <w:bCs/>
        </w:rPr>
        <w:t xml:space="preserve">WP4. </w:t>
      </w:r>
      <w:r>
        <w:t>WP4 will conduct industry pilot testing, evaluating DPP implementation in practice and benchmarking the M-DPP composition claim mechanism against existing certification standards. The comparative certification analysis will produce the first direct evidence on whether molecularly evidenced composition claims can substitute for, supplement, or supersede current third-party certification for the fibre types in scope. This evidence is critical to positioning M-DPP in the policy landscape and to the risk assessment in Section 5.6.</w:t>
      </w:r>
    </w:p>
    <w:p w14:paraId="6D000013" w14:textId="77777777" w:rsidR="00CB0F61" w:rsidRDefault="0084011A" w:rsidP="00E84A8D">
      <w:r>
        <w:rPr>
          <w:b/>
          <w:bCs/>
        </w:rPr>
        <w:t xml:space="preserve">Ecosystem engagement. </w:t>
      </w:r>
      <w:r>
        <w:t>At the consortium and ecosystem level, the CoE-DPP partnership and the M-DPP living lab provide the principal vehicles for translating the project’s research outputs into the Dutch DPP implementation landscape. The Landscape Scan recommendation to scale pilots into modular solutions, and the Adoption Pulse recommendation to shift from implementation focus to usage stimulation, both point toward active dissemination and co-design with end-users — recyclers, brand quality teams, and market surveillance bodies — as the priority for the second half of the project.</w:t>
      </w:r>
    </w:p>
    <w:p w14:paraId="6D000014" w14:textId="77777777" w:rsidR="00CB0F61" w:rsidRDefault="0084011A">
      <w:pPr>
        <w:pBdr>
          <w:top w:val="single" w:sz="4" w:space="0" w:color="1F4E79"/>
          <w:left w:val="thick" w:sz="8" w:space="6" w:color="1F4E79"/>
          <w:bottom w:val="single" w:sz="4" w:space="0" w:color="1F4E79"/>
          <w:right w:val="single" w:sz="4" w:space="0" w:color="1F4E79"/>
        </w:pBdr>
        <w:shd w:val="clear" w:color="auto" w:fill="E9F0F8"/>
        <w:jc w:val="both"/>
      </w:pPr>
      <w:r>
        <w:rPr>
          <w:b/>
          <w:bCs/>
          <w:color w:val="1F4E79"/>
        </w:rPr>
        <w:t xml:space="preserve">Open items carried forward: </w:t>
      </w:r>
      <w:r>
        <w:rPr>
          <w:color w:val="1F4E79"/>
        </w:rPr>
        <w:t>This report is the final WP1 deliverable, and its conclusions are drawn on the evidence available at the time of writing: the completed three-round Delphi consultation, the final (advance) JRC textile content study, and the EU and Dutch implementation landscape. Three inputs remain genuinely future and will refine rather than overturn these conclusions. WP2 milestone reporting will confirm the confidence-score methodology and the throughput and cost parameters that determine deployment feasibility (Section 5.4, 6.2); WP4 pilot testing will provide the first empirical evidence on the declared-versus-evidenced gap in a live DPP context; and the first CEN/CENELEC JTC 24 publications, together with the textile delegated act itself, will settle the technical standards, credential-governance mechanism and access-rights detail that this report can currently specify only at the level of design targets (Section 5.5, 6.2, Annex A.5 and A.10). None of these is expected to alter the structure or the principal findings of the conclusions; each will sharpen specificity as the regulatory and analytical picture completes.</w:t>
      </w:r>
    </w:p>
    <w:p w14:paraId="6D000015" w14:textId="77777777" w:rsidR="00CB0F61" w:rsidRDefault="00CB0F61">
      <w:pPr>
        <w:spacing w:after="80"/>
      </w:pPr>
    </w:p>
    <w:p w14:paraId="2F896674" w14:textId="77777777" w:rsidR="000C4B24" w:rsidRDefault="000C4B24">
      <w:pPr>
        <w:rPr>
          <w:b/>
          <w:bCs/>
          <w:color w:val="1F4E79"/>
          <w:sz w:val="32"/>
          <w:szCs w:val="32"/>
        </w:rPr>
      </w:pPr>
      <w:r>
        <w:br w:type="page"/>
      </w:r>
    </w:p>
    <w:p w14:paraId="1A00001E" w14:textId="6ADCB144" w:rsidR="00CB0F61" w:rsidRDefault="0084011A">
      <w:pPr>
        <w:pStyle w:val="Heading1"/>
        <w:pBdr>
          <w:bottom w:val="single" w:sz="4" w:space="4" w:color="1F4E79"/>
        </w:pBdr>
      </w:pPr>
      <w:bookmarkStart w:id="75" w:name="_Toc232001109"/>
      <w:r>
        <w:lastRenderedPageBreak/>
        <w:t>Annex: Technical Implementation Questions</w:t>
      </w:r>
      <w:bookmarkEnd w:id="75"/>
    </w:p>
    <w:p w14:paraId="1A00001F" w14:textId="77777777" w:rsidR="00CB0F61" w:rsidRDefault="0084011A" w:rsidP="000C4B24">
      <w:r>
        <w:t>This annex addresses a set of specific technical and implementation questions identified by the M-DPP project team as requiring targeted analysis. These questions sit at the intersection of regulatory requirements and practical system design. Where the available evidence provides a clear answer, it is stated. Where the answer remains open — pending the textile delegated act, ongoing standardisation work, or Delphi Round 3 — the current state of knowledge is described and the open question is flagged for follow-up.</w:t>
      </w:r>
    </w:p>
    <w:p w14:paraId="1A000020" w14:textId="77777777" w:rsidR="00CB0F61" w:rsidRDefault="0084011A">
      <w:pPr>
        <w:pStyle w:val="Heading2"/>
      </w:pPr>
      <w:bookmarkStart w:id="76" w:name="_Toc232001110"/>
      <w:r>
        <w:t>A.1  Granularity: Model, Batch, and Item Level</w:t>
      </w:r>
      <w:bookmarkEnd w:id="76"/>
    </w:p>
    <w:p w14:paraId="1A000021" w14:textId="77777777" w:rsidR="00CB0F61" w:rsidRDefault="0084011A" w:rsidP="000C4B24">
      <w:r>
        <w:t>The ESPR permits DPPs to be established at model, batch, or item level, with the choice to be made in each product-group delegated act. The JRC methodology describes these levels as follows: model level means all units of a product share the same DPP data; batch level means data is specific to a group of products produced under similar conditions; item level means each individual product unit has its own DPP record (Chawla et al., 2026). A hybrid approach is also explicitly supported, in which some data fields are specified at model level and others at item or batch level within the same DPP.</w:t>
      </w:r>
    </w:p>
    <w:p w14:paraId="1A000022" w14:textId="77777777" w:rsidR="00CB0F61" w:rsidRDefault="0084011A" w:rsidP="000C4B24">
      <w:r>
        <w:t>For textile products, the JRC preparatory study notes that fibre composition data is typically consistent within a model and is already collected and disclosed at model or order level. The study identifies model-level as the appropriate baseline for fibre composition, with batch-level appropriate where production-specific differences are systematically relevant (e.g. for carbon footprint data, where factory location and energy mix affect the result). For mass-produced, low-value products such as socks and underwear, the added value of item-level identification cannot counterbalance the cost and operational burden; model-level or batch-level is expected to be the appropriate regulatory approach. For higher-value items — where provenance and authenticity are key use-case requirements, such as in luxury garments — item-level granularity is both more justified and more feasible. A phased approach is anticipated: item-level as a voluntary capability initially, with an inheritance model (each item assigned a DPP derived from batch-level inputs, supplemented by a unique serial number) as the transition mechanism (González-Torres &amp; Arcipowska, 2026).</w:t>
      </w:r>
    </w:p>
    <w:p w14:paraId="1A000006" w14:textId="77777777" w:rsidR="00CB0F61" w:rsidRDefault="0084011A" w:rsidP="000C4B24">
      <w:r>
        <w:rPr>
          <w:b/>
        </w:rPr>
        <w:t xml:space="preserve">Open question: </w:t>
      </w:r>
      <w:r>
        <w:t>The specific granularity levels to be mandated for textile DPPs will be confirmed in the delegated act. The final textile content study proposes the batch identifier as the minimum registered identifier, populated with batch- or model-level information field by field, with item-level identifiers voluntary and finer-than-mandated granularity permitted (González-Torres &amp; Arcipowska, 2026). M-DPP should accordingly prepare to operate at batch level as the primary design target for composition and provenance data, treat model-level as the inherited minimum baseline for fields the study assigns there (fibre composition among them), and hold item-level as a voluntary extension. This has direct implications for WP2 (molecular reference database granularity) and WP3 (identifier architecture).</w:t>
      </w:r>
    </w:p>
    <w:p w14:paraId="1A000023" w14:textId="77777777" w:rsidR="00CB0F61" w:rsidRDefault="0084011A">
      <w:pPr>
        <w:pStyle w:val="Heading2"/>
      </w:pPr>
      <w:bookmarkStart w:id="77" w:name="_Toc232001111"/>
      <w:r>
        <w:t>A.2  Definition of “Model Level”: Colour and Size</w:t>
      </w:r>
      <w:bookmarkEnd w:id="77"/>
    </w:p>
    <w:p w14:paraId="5657F08C" w14:textId="77777777" w:rsidR="00CB0F61" w:rsidRDefault="0084011A" w:rsidP="000C4B24">
      <w:r>
        <w:t>The definition of “model level” in the textile context is less settled than it might appear. Within apparel brand and Product Lifecycle Management (PLM) processes, a model (or style) typically encompasses multiple colourways and sizes, all based on the same pattern and construction. Colour-size combinations are usually recorded under separate Stock Keeping Units (SKUs). Under the GS1 standard, however, every distinct colour-size combination must carry its own GTIN, meaning each variant is treated as a separate product at the identifier level. This creates practical complexity: for example, garment weight may differ across sizes of the same style, which would make true model-level reporting technically inaccurate if the “model” spans size variants (González-Torres &amp; Arcipowska, 2026). The final textile study offers a working definition that partially resolves this: a “model” is a version of a product whose units share the same technical characteristics, pattern and construction, and it does not necessarily require colour and size distinctions — leaving those distinctions to be drawn only where a data point genuinely varies across them.</w:t>
      </w:r>
    </w:p>
    <w:p w14:paraId="1A000025" w14:textId="77777777" w:rsidR="00CB0F61" w:rsidRDefault="0084011A" w:rsidP="000C4B24">
      <w:r>
        <w:t xml:space="preserve">The JRC methodology acknowledges this ambiguity, noting that model-level DPPs may include non-substantial variants — products that differ only in print or colour but share </w:t>
        <w:lastRenderedPageBreak/>
        <w:t>the same fibre composition and construction — where a common DPP data entry is permitted, subject to the condition that any variation in values is expressible within an agreed range. For data points where colour or size produces substantive differences in composition, weight, or finishing treatment, the delegated act would need to require separate entries at the colour-size (GTIN) level rather than the style level.</w:t>
      </w:r>
    </w:p>
    <w:p w14:paraId="1A000007" w14:textId="77777777" w:rsidR="00CB0F61" w:rsidRDefault="0084011A" w:rsidP="000C4B24">
      <w:r>
        <w:rPr>
          <w:b/>
        </w:rPr>
        <w:t xml:space="preserve">Open question: </w:t>
      </w:r>
      <w:r>
        <w:t>The delegated act will need to define “model” for the textile context, including whether colour and size variants constitute separate DPP entries. For the M-DPP system design, the GTIN-level (colour-size combination) is the safer unit of analysis: it aligns with GS1 standards, matches common DPP identifier practices, and avoids ambiguity about what constitutes a “variant.”</w:t>
      </w:r>
    </w:p>
    <w:p w14:paraId="1A000026" w14:textId="77777777" w:rsidR="00CB0F61" w:rsidRDefault="0084011A">
      <w:pPr>
        <w:pStyle w:val="Heading2"/>
      </w:pPr>
      <w:bookmarkStart w:id="78" w:name="_Toc232001112"/>
      <w:r>
        <w:t>A.3  Unique Identification: Products, Operators, and Facilities</w:t>
      </w:r>
      <w:bookmarkEnd w:id="78"/>
    </w:p>
    <w:p w14:paraId="1A000027" w14:textId="77777777" w:rsidR="00CB0F61" w:rsidRDefault="0084011A" w:rsidP="000C4B24">
      <w:r>
        <w:t>The ESPR requires three types of unique identifiers in every DPP: a Unique Product Identifier (UPI), a Unique Operator Identifier (UOI), and a Unique Facility Identifier (UFI). In the textile sector, GS1 standards are the de facto reference. The GTIN (Global Trade Item Number), compliant with ISO/IEC 15459-6, is specified in ESPR Annex III(c) as the required standard for product identification. At model level, GTIN-13 is already widely used. To extend to batch level, GTIN combined with a lot number is used; to extend to item level, the Serialised GTIN (SGTIN) is appropriate. For operator and facility identification, the Global Location Number (GLN) covers both UOI and UFI requirements. The Legal Entity Identifier (LEI, ISO 17442-1:2020) is an alternative for operator identification. Internal SKU numbers are explicitly identified as insufficient for DPP compliance, as they lack global uniqueness and cannot support interoperability in a multi-actor system (González-Torres &amp; Arcipowska, 2026). Industry readiness for GTIN-level product identification is high; facility-level and item-level identification are less mature in practice.</w:t>
      </w:r>
    </w:p>
    <w:p w14:paraId="1A000008" w14:textId="77777777" w:rsidR="00CB0F61" w:rsidRDefault="0084011A" w:rsidP="000C4B24">
      <w:r>
        <w:rPr>
          <w:b/>
        </w:rPr>
        <w:t xml:space="preserve">Implication for M-DPP: </w:t>
      </w:r>
      <w:r>
        <w:t>The system should ingest and output GTIN-compliant product identifiers and GLN-compliant operator and facility identifiers. The WP3 identifier architecture should support the GTIN hierarchy (model → batch via lot number → item via SGTIN) to enable the phased granularity approach described in A.1.</w:t>
      </w:r>
    </w:p>
    <w:p w14:paraId="1A000028" w14:textId="77777777" w:rsidR="00CB0F61" w:rsidRDefault="0084011A">
      <w:pPr>
        <w:pStyle w:val="Heading2"/>
      </w:pPr>
      <w:bookmarkStart w:id="79" w:name="_Toc232001113"/>
      <w:r>
        <w:t>A.4  Data Carriers</w:t>
      </w:r>
      <w:bookmarkEnd w:id="79"/>
    </w:p>
    <w:p w14:paraId="1A000029" w14:textId="77777777" w:rsidR="00CB0F61" w:rsidRDefault="0084011A" w:rsidP="000C4B24">
      <w:r>
        <w:t>The ESPR requires a data carrier physically present on the product, packaging, or documentation, but does not prescribe specific technologies; this is left to delegated acts and CEN/CENELEC JTC 24 standardisation. GS1 QR codes and GS1 DataMatrix are the primary candidate technologies referenced in the JRC standardisation mapping, with GS1 Digital Link as the relevant standard for granularity-level identifiers (Chawla et al., 2026). For textile products, QR codes are the most likely carrier for garments given physical product characteristics and readability requirements; NFC/RFID may be applicable for specific product types or supply chain stages. Delegated acts may specify carrier location requirements (e.g. on the product label, on packaging, or in accompanying digital documentation) and durability requirements to ensure readability over the product’s expected lifetime.</w:t>
      </w:r>
    </w:p>
    <w:p w14:paraId="1A000009" w14:textId="77777777" w:rsidR="00CB0F61" w:rsidRDefault="0084011A" w:rsidP="000C4B24">
      <w:r>
        <w:rPr>
          <w:b/>
        </w:rPr>
        <w:t xml:space="preserve">Open question: </w:t>
      </w:r>
      <w:r>
        <w:t>The specific data carrier requirement for textile DPPs will be defined in the delegated act. The M-DPP system architecture should be carrier-agnostic at the technical level, using GS1 QR code as the reference implementation for initial prototyping and living lab work.</w:t>
      </w:r>
    </w:p>
    <w:p w14:paraId="1A00002A" w14:textId="77777777" w:rsidR="00CB0F61" w:rsidRDefault="0084011A">
      <w:pPr>
        <w:pStyle w:val="Heading2"/>
      </w:pPr>
      <w:bookmarkStart w:id="80" w:name="_Toc232001114"/>
      <w:r>
        <w:t>A.5  Standards, Formats, and APIs</w:t>
      </w:r>
      <w:bookmarkEnd w:id="80"/>
    </w:p>
    <w:p w14:paraId="1A00002B" w14:textId="77777777" w:rsidR="00CB0F61" w:rsidRDefault="0084011A" w:rsidP="000C4B24">
      <w:r>
        <w:t xml:space="preserve">The ESPR requires DPP data to use open, standard, interoperable and machine-readable formats, be structured and searchable, and be transferable through open networks without vendor lock-in (Art. 10(1)(d)). The detailed technical standards are </w:t>
        <w:lastRenderedPageBreak/>
        <w:t>being developed by CEN/CENELEC JTC 24, covering unique identifiers and data carriers (WG2), accessibility and access rights (WG3), data persistence and archiving (WG4), and governance (WG5). Key cross-referenced standards include ISO/IEC 27001 (data security), GS1 EPCIS (event-based traceability), ISO 9241 and W3C WCAG (accessibility), and the W3C Decentralised Identifiers (DID) specification as a potential mechanism for credential management (Chawla et al., 2026). JTC 24’s first publications were anticipated in early 2026.</w:t>
      </w:r>
    </w:p>
    <w:p w14:paraId="1A00000A" w14:textId="77777777" w:rsidR="00CB0F61" w:rsidRDefault="0084011A" w:rsidP="000C4B24">
      <w:r>
        <w:rPr>
          <w:b/>
        </w:rPr>
        <w:t xml:space="preserve">Open question: </w:t>
      </w:r>
      <w:r>
        <w:t>The specific API requirements and data format standards for the textile DPP will emerge from JTC 24’s publications and the delegated act. For M-DPP, alignment with the CIRPASS-2 DPP Core Ontology and GS1 vocabulary is the most defensible interim design choice, as both are directly referenced in the JRC preparatory work and the Maigre et al. (2025) Ontology Requirements Specification.</w:t>
      </w:r>
    </w:p>
    <w:p w14:paraId="1A00002C" w14:textId="77777777" w:rsidR="00CB0F61" w:rsidRDefault="0084011A">
      <w:pPr>
        <w:pStyle w:val="Heading2"/>
      </w:pPr>
      <w:bookmarkStart w:id="81" w:name="_Toc232001115"/>
      <w:r>
        <w:t>A.6  Fibre Composition: How It Works in a DPP Context</w:t>
      </w:r>
      <w:bookmarkEnd w:id="81"/>
    </w:p>
    <w:p w14:paraId="1A00002D" w14:textId="77777777" w:rsidR="00CB0F61" w:rsidRDefault="0084011A" w:rsidP="000C4B24">
      <w:r>
        <w:t>Fibre composition disclosure — mandatory under the Textile Labelling Regulation (Regulation (EU) No 1007/2011, Art. 9) as a list of fibre names and weight percentages in descending order — is among the most consistently collected data points across the textile sector and is identified in the JRC preparatory study as having high industry readiness at model or order level. Within a DPP, this data is expected to be structured as a machine-readable field rather than free text, enabling automated reading by recycling sorting systems, market surveillance tools, and consumer applications (González-Torres &amp; Arcipowska, 2026).</w:t>
      </w:r>
    </w:p>
    <w:p w14:paraId="1A00000B" w14:textId="77777777" w:rsidR="00CB0F61" w:rsidRDefault="0084011A" w:rsidP="000C4B24">
      <w:r>
        <w:t>The critical issue from the M-DPP perspective is not the existence of fibre composition data, but its verifiability. Current practice relies on supplier declarations; independent third-party verification is uncommon outside of certification programmes. This creates the declared-versus-evidenced gap that M-DPP’s molecular characterisation approach is designed to address. Molecular analysis (FTIR, LC-MS, GC-MS) generates an independent evidential signal against which declared composition data can be assessed. Within the DPP, this would be represented as a linked data point attaching a verification status and methodology to the composition claim. For recycled fibres, this distinction is especially critical: the structural difficulty of verifying recycled content claims has been flagged in both the CIRPASS-2 industry survey and the M-DPP Delphi consultation.</w:t>
      </w:r>
    </w:p>
    <w:p w14:paraId="1A00000C" w14:textId="77777777" w:rsidR="00CB0F61" w:rsidRDefault="0084011A" w:rsidP="000C4B24">
      <w:r>
        <w:rPr>
          <w:b/>
        </w:rPr>
        <w:t xml:space="preserve">Implication for M-DPP: </w:t>
      </w:r>
      <w:r>
        <w:t>The M-DPP system should hold both declared composition data (from supplier declarations and existing labelling data) and evidenced composition data (from molecular analysis), with clear metadata distinguishing the two. WP2 provides the reference material against which verification is conducted; WP3 provides the API layer connecting both data types to the DPP record.</w:t>
      </w:r>
    </w:p>
    <w:p w14:paraId="1A00000D" w14:textId="77777777" w:rsidR="00CB0F61" w:rsidRDefault="0084011A">
      <w:pPr>
        <w:pStyle w:val="Heading2"/>
      </w:pPr>
      <w:bookmarkStart w:id="82" w:name="_Toc232001116"/>
      <w:r>
        <w:t>A.7  Certifications and Test Reports</w:t>
      </w:r>
      <w:bookmarkEnd w:id="82"/>
    </w:p>
    <w:p w14:paraId="1A00000E" w14:textId="77777777" w:rsidR="00CB0F61" w:rsidRDefault="0084011A" w:rsidP="000C4B24">
      <w:r>
        <w:t>Certification and testing data is structurally present in the textile sector but held in an inaccessible form: product robustness, quality, and sustainability certifications (GOTS, OEKO-TEX, GRS, CCS) exist as PDF documents, managed through email chains and standalone files rather than structured, machine-readable datasets. These are not shared with consumers and are used primarily for internal compliance verification or B2B due diligence (González-Torres &amp; Arcipowska, 2026).</w:t>
      </w:r>
    </w:p>
    <w:p w14:paraId="1A00000F" w14:textId="77777777" w:rsidR="00CB0F61" w:rsidRDefault="0084011A" w:rsidP="000C4B24">
      <w:r>
        <w:t xml:space="preserve">Within a DPP, certifications would be represented as structured references — linking to a certificate identifier, issuing body, scope, and validity period — rather than as attached documents. Third-party certifications such as CCS operate at batch level, which aligns with the batch-level granularity recommended for composition and traceability data. The ESPR Annex III includes declarations of conformity, technical documentation, and conformity certificates (ESPR.Annex3.e) as DPP content. Market surveillance authorities </w:t>
        <w:lastRenderedPageBreak/>
        <w:t>require full access to underlying test reports and certificates, while consumers receive a simplified high-level indication.</w:t>
      </w:r>
    </w:p>
    <w:p w14:paraId="1A000010" w14:textId="77777777" w:rsidR="00CB0F61" w:rsidRDefault="0084011A" w:rsidP="000C4B24">
      <w:r>
        <w:rPr>
          <w:b/>
        </w:rPr>
        <w:t xml:space="preserve">Open question: </w:t>
      </w:r>
      <w:r>
        <w:t>The delegated act will specify which certifications are mandatory DPP content and at what level of detail. The M-DPP system should store certification references as structured metadata linked to specific data claims (e.g. linking a recycled content claim to the GRS certificate that evidences it). This supports both the declared/evidenced distinction (A.6) and the role-based access model (A.9).</w:t>
      </w:r>
    </w:p>
    <w:p w14:paraId="1A000011" w14:textId="77777777" w:rsidR="00CB0F61" w:rsidRDefault="0084011A">
      <w:pPr>
        <w:pStyle w:val="Heading2"/>
      </w:pPr>
      <w:bookmarkStart w:id="83" w:name="_Toc232001117"/>
      <w:r>
        <w:t>A.8  Tier 2 and Tier 3 Visibility (Fabric, Yarn, Fibre Components)</w:t>
      </w:r>
      <w:bookmarkEnd w:id="83"/>
    </w:p>
    <w:p w14:paraId="1A000012" w14:textId="77777777" w:rsidR="00CB0F61" w:rsidRDefault="0084011A" w:rsidP="000C4B24">
      <w:r>
        <w:t>Supply chain visibility beyond Tier 1 (assembly) remains the most significant structural bottleneck for textile DPP implementation. The JRC preparatory study documents this clearly: while brands maintain high visibility over Tier 1 assembly suppliers via ERP systems, Tier 2 (fabric), Tier 3 (yarn), and raw material origin remain largely opaque. Upstream suppliers hold technical data on fibre properties and chemical usage but treat it as Confidential Business Information, fearing competitive exposure (González-Torres &amp; Arcipowska, 2026). This directly mirrors M-DPP Delphi Round 1 findings.</w:t>
      </w:r>
    </w:p>
    <w:p w14:paraId="1A000013" w14:textId="77777777" w:rsidR="00CB0F61" w:rsidRDefault="0084011A" w:rsidP="000C4B24">
      <w:r>
        <w:t>Critically, the scope of the textile delegated act covers final products only: intermediate products such as fabrics, yarns, and fibres are excluded from the formal DPP obligation. No regulatory mechanism currently compels Tier 2 or Tier 3 suppliers to create their own DPPs or share structured data. The DPP offers a semantic and technical foundation that supply chain actors may voluntarily adopt, and which the M-DPP living lab work aims to demonstrate and incentivise — but the primary legal obligation remains with the brand or manufacturer placing the final product on the market. Data from upstream actors will therefore need to be obtained through commercial relationships, voluntary data-sharing agreements, or third-party analytical methods that can generate composition data without requiring upstream supplier disclosure.</w:t>
      </w:r>
    </w:p>
    <w:p w14:paraId="1A000014" w14:textId="77777777" w:rsidR="00CB0F61" w:rsidRDefault="0084011A" w:rsidP="000C4B24">
      <w:r>
        <w:rPr>
          <w:b/>
        </w:rPr>
        <w:t xml:space="preserve">Implication for M-DPP: </w:t>
      </w:r>
      <w:r>
        <w:t>Molecular characterisation has strategic value precisely because it can generate evidenced fibre composition data at the final product level without requiring structured disclosure from Tier 2 or Tier 3 suppliers. This positions M-DPP as a partial solution to the Tier 2/3 visibility gap: it addresses composition, but not traceability of sourcing locations or chemical treatment history. This distinction should be clearly articulated in project communications and in the compliance strategy (Section 5).</w:t>
      </w:r>
    </w:p>
    <w:p w14:paraId="1A000015" w14:textId="77777777" w:rsidR="00CB0F61" w:rsidRDefault="0084011A">
      <w:pPr>
        <w:pStyle w:val="Heading2"/>
      </w:pPr>
      <w:bookmarkStart w:id="84" w:name="_Toc232001118"/>
      <w:r>
        <w:t>A.9  Access Rights: Public and Private Data</w:t>
      </w:r>
      <w:bookmarkEnd w:id="84"/>
    </w:p>
    <w:p w14:paraId="1A000016" w14:textId="77777777" w:rsidR="00CB0F61" w:rsidRDefault="0084011A" w:rsidP="000C4B24">
      <w:r>
        <w:t>The ESPR requires role-based access rights to DPP data, with the specific allocation defined at product-group level in delegated acts. The underlying analytical reference is the tiered, role-based structure the JRC methodology derives from the battery passport — public access via the data carrier, end-user and professional access, end-of-life operator access, supply-network professional access to prepare upstream DPPs, and full authority access to technical documentation (Chawla et al., 2026). The textile content study translates this into a simpler, textile-specific model of three access categories (González-Torres &amp; Arcipowska, 2026): publicly accessible information available without authentication; information accessible only to authorities — notified bodies, market surveillance, customs and the Commission — covering compliance documentation and test results; and information accessible only to natural or legal persons with a legitimate interest, such as recycling operators, covering fields such as detailed product composition.</w:t>
      </w:r>
    </w:p>
    <w:p w14:paraId="1A000017" w14:textId="77777777" w:rsidR="00CB0F61" w:rsidRDefault="0084011A" w:rsidP="000C4B24">
      <w:r>
        <w:t>The study’s per-field allocation (its Table 14) departs from what a naive reading of the battery model might suggest, and the differences matter for M-DPP. Fibre composition is public, consistent with existing labelling practice. For substances of concern, the substance name and its concentration are public, while only the location of the substance within the product is restricted to actors with a legitimate interest — a deliberate choice that prioritises consumer and recycler safety information over the confidentiality of precise placement. Conformity certifications and the conformity declaration are authority-only across mechanical, recyclability, recycled-content, organic-content and footprint data. The absolute values and calculation parameters behind carbon and environmental footprint, and the underlying weights of recycled and organic material, are restricted to legitimate-interest actors or authorities, because they can indirectly reveal production processes, energy mix or operational efficiencies that constitute confidential business information; the corresponding public-facing figure is the class of performance rather than the absolute value.</w:t>
      </w:r>
    </w:p>
    <w:p w14:paraId="1A000018" w14:textId="77777777" w:rsidR="00CB0F61" w:rsidRDefault="0084011A" w:rsidP="000C4B24">
      <w:r>
        <w:rPr>
          <w:b/>
        </w:rPr>
        <w:lastRenderedPageBreak/>
        <w:t xml:space="preserve">Open question: </w:t>
      </w:r>
      <w:r>
        <w:t>The precise access-rights structure for textile DPP data fields will be confirmed in the delegated act. For M-DPP system design, the study’s three-category model, with the per-field allocation of Table 14, is the most defensible interim reference. Molecular verification data, constituting technical documentation that evidences a composition claim, maps cleanly onto the authority-only and legitimate-interest categories: it is verification evidence attached to a regulated data point, accessible to authorities and to actors with a legitimate interest such as recyclers, but not publicly exposed.</w:t>
      </w:r>
    </w:p>
    <w:p w14:paraId="1A000019" w14:textId="77777777" w:rsidR="00CB0F61" w:rsidRDefault="0084011A">
      <w:pPr>
        <w:pStyle w:val="Heading2"/>
      </w:pPr>
      <w:bookmarkStart w:id="85" w:name="_Toc232001119"/>
      <w:r>
        <w:t>A.10  Credentials: Issuance, Role Assignment, and Actor Categories</w:t>
      </w:r>
      <w:bookmarkEnd w:id="85"/>
    </w:p>
    <w:p w14:paraId="1A00001A" w14:textId="77777777" w:rsidR="00CB0F61" w:rsidRDefault="0084011A" w:rsidP="000C4B24">
      <w:r>
        <w:t>The ESPR establishes role-based access rights across a broad range of actors, but does not specify the technical mechanism for authenticating actors or issuing credentials. The Dutch DPP Landscape Scan (CoE-DPP / TNO, 2025) defines a “Credentials Issuing Authority” as a distinct DPP ecosystem actor: an entity that provides credentials to parties enabling them to make and verify claims, potentially a regulatory authority. The W3C Verifiable Credentials framework is referenced as the relevant technical standard. The JRC methodology references ISO/IEC 27001 and GS1 EPCIS as relevant standards for authentication and role-based access controls, and notes that operationalisation of role-based access is expected to be addressed through standardisation and technical implementation (Chawla et al., 2026).</w:t>
      </w:r>
    </w:p>
    <w:p w14:paraId="1A00001B" w14:textId="77777777" w:rsidR="00CB0F61" w:rsidRDefault="0084011A" w:rsidP="000C4B24">
      <w:r>
        <w:t>Actor categories requiring credentials in a textile DPP system would include: the manufacturer or importer (responsible for DPP creation and data accuracy); supply chain partners (write access to submit upstream data, authorised by the manufacturer); professional recyclers and waste sorters (Tier 3 read access, conditional on role verification); market surveillance and customs authorities (full access); and consumers (public data access via data carrier without authentication). The question of who issues credentials to recyclers, sorters, and authorities — and through what governance mechanism — is unresolved and expected to be addressed through JTC 24 standardisation and national implementation frameworks.</w:t>
      </w:r>
    </w:p>
    <w:p w14:paraId="1A00001C" w14:textId="77777777" w:rsidR="00CB0F61" w:rsidRDefault="0084011A" w:rsidP="000C4B24">
      <w:r>
        <w:rPr>
          <w:b/>
        </w:rPr>
        <w:t xml:space="preserve">Open question: </w:t>
      </w:r>
      <w:r>
        <w:t>Credential issuance and role assignment for textile DPPs is not yet defined and represents one of the most significant open questions for system implementation. For M-DPP, this is a live design question for WP3. A pragmatic interim model for the living lab phase — pending JTC 24 outputs — is likely: self-asserted roles with identity verification for commercial actors; national authority credentials for market surveillance; and public (no-credential) access for consumer-facing data via QR code. Delphi Round 3 addressed the related question of verification governance directly but did not resolve it: the panel split evenly between an EU or government body and an industry standards body such as CEN or ISO, with no majority (Section 4.4.1). That split is itself informative for credential design. It signals that whichever mechanism M-DPP adopts should not hard-wire a single issuing authority, because the sector has not converged on one; and it surfaces the reason — the argument for a CEN or ISO route rests on global adoption, since EU-only instruments do not bind the non-EU part of the supply chain, whereas the argument for an EU or government route rests on enforcement power and proximity to the regulation. The credential architecture should therefore remain pluggable, able to accommodate either an EU-anchored or a standards-body-anchored issuer as the delegated act and JTC 24 standardisation settle the question.</w:t>
      </w:r>
    </w:p>
    <w:p w14:paraId="1A00001D" w14:textId="77777777" w:rsidR="00CB0F61" w:rsidRDefault="00CB0F61">
      <w:pPr>
        <w:spacing w:after="80"/>
      </w:pPr>
    </w:p>
    <w:p w14:paraId="1A000031" w14:textId="77777777" w:rsidR="00CB0F61" w:rsidRDefault="0084011A">
      <w:pPr>
        <w:pStyle w:val="Heading1"/>
        <w:pBdr>
          <w:bottom w:val="single" w:sz="4" w:space="4" w:color="1F4E79"/>
        </w:pBdr>
      </w:pPr>
      <w:bookmarkStart w:id="86" w:name="_Toc232001120"/>
      <w:r>
        <w:t>References</w:t>
      </w:r>
      <w:bookmarkEnd w:id="86"/>
    </w:p>
    <w:p w14:paraId="1A00002F" w14:textId="77777777" w:rsidR="00CB0F61" w:rsidRDefault="0084011A">
      <w:pPr>
        <w:jc w:val="both"/>
      </w:pPr>
      <w:r>
        <w:t>Chawla, K., Chirvasuta, T., Wolf, M.-A., Wolf, K., Rongen, S., Rurup, R., Gonzalez Torres, M., Naumann, G., &amp; Arcipowska, A. (2026). Methodology for defining data requirements for the Digital Product Passport under the ESPR framework (JRC145830). Publications Office of the European Union. https://doi.org/10.2760/4511279</w:t>
      </w:r>
    </w:p>
    <w:p w14:paraId="1A000030" w14:textId="77777777" w:rsidR="00CB0F61" w:rsidRDefault="0084011A">
      <w:pPr>
        <w:jc w:val="both"/>
      </w:pPr>
      <w:r>
        <w:t>González-Torres, M., &amp; Arcipowska, A. (2026). Study on DPP content for textile apparel products under ESPR: JRC recommendations to support DPP requirements in the framework of the ESPR Regulation [Unpublished advance version, dated 13 May 2026]. European Commission, Joint Research Centre. Cited throughout as ‘González-Torres &amp; Arcipowska, 2026’. This JRC Science for Policy report had not been formally published at the time of writing; no final JRC number or DOI was yet assigned, and page and table references are to the advance version.</w:t>
      </w:r>
    </w:p>
    <w:p w14:paraId="5F8E8F17" w14:textId="77777777" w:rsidR="00CB0F61" w:rsidRDefault="0084011A">
      <w:pPr>
        <w:jc w:val="both"/>
      </w:pPr>
      <w:r>
        <w:t>Centre of Excellence for Digital Product Passports. (2025, October). Dutch Digital Product Passport Landscape Scan (Version 1.0). CoE-DPP / TNO. https://coe-dsc.nl</w:t>
      </w:r>
    </w:p>
    <w:p w14:paraId="5F8E8F18" w14:textId="77777777" w:rsidR="00CB0F61" w:rsidRDefault="00CB0F61">
      <w:pPr>
        <w:spacing w:before="20" w:after="20"/>
      </w:pPr>
    </w:p>
    <w:p w14:paraId="5F8E8F19" w14:textId="77777777" w:rsidR="00CB0F61" w:rsidRDefault="0084011A">
      <w:pPr>
        <w:jc w:val="both"/>
      </w:pPr>
      <w:r>
        <w:t>Centre of Excellence for Digital Product Passports &amp; INNOPAY. (2025, November). DPP Adoption Pulse. CoE-DPP. Presented at the CoE-DPP Community Meeting, 22 January 2026, The Hague.</w:t>
      </w:r>
    </w:p>
    <w:p w14:paraId="5F8E8F1A" w14:textId="77777777" w:rsidR="00CB0F61" w:rsidRDefault="00CB0F61">
      <w:pPr>
        <w:spacing w:before="20" w:after="20"/>
      </w:pPr>
    </w:p>
    <w:p w14:paraId="5F8E8F1B" w14:textId="77777777" w:rsidR="00CB0F61" w:rsidRDefault="0084011A">
      <w:pPr>
        <w:jc w:val="both"/>
      </w:pPr>
      <w:r>
        <w:t>European Commission. (2024). Regulation (EU) 2024/1781 of the European Parliament and of the Council of 13 June 2024 (Ecodesign for Sustainable Products Regulation). OJ L, 2024/1781.</w:t>
      </w:r>
    </w:p>
    <w:p w14:paraId="5F8E8F1C" w14:textId="77777777" w:rsidR="00CB0F61" w:rsidRDefault="00CB0F61">
      <w:pPr>
        <w:spacing w:before="20" w:after="20"/>
      </w:pPr>
    </w:p>
    <w:p w14:paraId="5F8E8F1D" w14:textId="77777777" w:rsidR="00CB0F61" w:rsidRDefault="0084011A">
      <w:pPr>
        <w:jc w:val="both"/>
      </w:pPr>
      <w:r>
        <w:t>European Commission. (2025, April 16). Ecodesign for Sustainable Products Regulation and Energy Labelling Working Plan 2025–2030. European Commission Green Forum. https://green-forum.ec.europa.eu</w:t>
      </w:r>
    </w:p>
    <w:p w14:paraId="5F8E8F1E" w14:textId="77777777" w:rsidR="00CB0F61" w:rsidRDefault="00CB0F61">
      <w:pPr>
        <w:spacing w:before="20" w:after="20"/>
      </w:pPr>
    </w:p>
    <w:p w14:paraId="5F8E8F1F" w14:textId="77777777" w:rsidR="00CB0F61" w:rsidRDefault="0084011A">
      <w:pPr>
        <w:jc w:val="both"/>
      </w:pPr>
      <w:r>
        <w:t>European Commission, Joint Research Centre. (2024, November). Task 4 of the preparatory study on textile products. JRC Product Bureau. https://susproc.jrc.ec.europa.eu/product-bureau/product-groups/467/documents</w:t>
      </w:r>
    </w:p>
    <w:p w14:paraId="5F8E8F20" w14:textId="77777777" w:rsidR="00CB0F61" w:rsidRDefault="00CB0F61">
      <w:pPr>
        <w:spacing w:before="20" w:after="20"/>
      </w:pPr>
    </w:p>
    <w:p w14:paraId="5F8E8F21" w14:textId="77777777" w:rsidR="00CB0F61" w:rsidRDefault="0084011A">
      <w:pPr>
        <w:jc w:val="both"/>
      </w:pPr>
      <w:r>
        <w:t>European Commission, Joint Research Centre. (2026). Methodology for defining data requirements for the Digital Product Passport under the ESPR framework (JRC145830). Publications Office of the European Union.</w:t>
      </w:r>
    </w:p>
    <w:p w14:paraId="5F8E8F22" w14:textId="77777777" w:rsidR="00CB0F61" w:rsidRDefault="00CB0F61">
      <w:pPr>
        <w:spacing w:before="20" w:after="20"/>
      </w:pPr>
    </w:p>
    <w:p w14:paraId="5F8E8F23" w14:textId="77777777" w:rsidR="00CB0F61" w:rsidRDefault="0084011A">
      <w:pPr>
        <w:jc w:val="both"/>
      </w:pPr>
      <w:r>
        <w:t>European Parliamentary Research Service. (2024a). Digital product passport in the textile sector. EPRS. https://www.europarl.europa.eu</w:t>
      </w:r>
    </w:p>
    <w:p w14:paraId="5F8E8F24" w14:textId="77777777" w:rsidR="00CB0F61" w:rsidRDefault="00CB0F61">
      <w:pPr>
        <w:spacing w:before="20" w:after="20"/>
      </w:pPr>
    </w:p>
    <w:p w14:paraId="5F8E8F25" w14:textId="77777777" w:rsidR="00CB0F61" w:rsidRDefault="0084011A">
      <w:pPr>
        <w:jc w:val="both"/>
      </w:pPr>
      <w:r>
        <w:t>European Parliamentary Research Service. (2024b). Identifying data gaps in the textile industry. EPRS. https://www.europarl.europa.eu</w:t>
      </w:r>
    </w:p>
    <w:p w14:paraId="5F8E8F26" w14:textId="77777777" w:rsidR="00CB0F61" w:rsidRDefault="00CB0F61">
      <w:pPr>
        <w:spacing w:before="20" w:after="20"/>
      </w:pPr>
    </w:p>
    <w:p w14:paraId="5F8E8F27" w14:textId="77777777" w:rsidR="00CB0F61" w:rsidRDefault="0084011A">
      <w:pPr>
        <w:jc w:val="both"/>
      </w:pPr>
      <w:r>
        <w:t>Maigre, R., Haav, H.-M., Robal, T., Wolf, M.-A., &amp; Danash, F. (2025). Ontology Requirements Specification for an EU DPP Core Ontology Proposal. CIRPASS-2 Consortium. https://doi.org/10.5281/zenodo.14892666</w:t>
      </w:r>
    </w:p>
    <w:p w14:paraId="5F8E8F28" w14:textId="77777777" w:rsidR="00CB0F61" w:rsidRDefault="00CB0F61">
      <w:pPr>
        <w:spacing w:before="20" w:after="20"/>
      </w:pPr>
    </w:p>
    <w:p w14:paraId="5F8E8F29" w14:textId="77777777" w:rsidR="00CB0F61" w:rsidRDefault="0084011A">
      <w:pPr>
        <w:jc w:val="both"/>
      </w:pPr>
      <w:r>
        <w:t>M-DPP Project. (2026a). Delphi Stakeholder Consultation — Round 1: Analysis &amp; Round 2 Statement Development. Fashion Research &amp; Technology, Amsterdam University of Applied Sciences. [Internal project document.]</w:t>
      </w:r>
    </w:p>
    <w:p w14:paraId="4E000001" w14:textId="77777777" w:rsidR="00CB0F61" w:rsidRPr="009C2FB6" w:rsidRDefault="0084011A">
      <w:pPr>
        <w:jc w:val="both"/>
        <w:rPr>
          <w:lang w:val="nl-NL"/>
        </w:rPr>
      </w:pPr>
      <w:r>
        <w:t xml:space="preserve">TNO / Centre of Excellence for Digital Product Passports. (2025). Dutch DPP Landscape Scan, Version 1.0. </w:t>
      </w:r>
      <w:r>
        <w:rPr>
          <w:lang w:val="nl-NL"/>
        </w:rPr>
        <w:t>CoE-DPP / TNO. October 2025.</w:t>
      </w:r>
    </w:p>
    <w:p w14:paraId="4E000002" w14:textId="77777777" w:rsidR="00CB0F61" w:rsidRDefault="0084011A">
      <w:pPr>
        <w:jc w:val="both"/>
      </w:pPr>
      <w:r>
        <w:rPr>
          <w:lang w:val="nl-NL"/>
        </w:rPr>
        <w:t xml:space="preserve">Verhagen, P., Ter Veen, M., Ooms, R., &amp; Noort, M. (2025, November). </w:t>
      </w:r>
      <w:r>
        <w:t>DPPs in the Dutch market: Adoption pulse. INNOPAY / CoE-DPP. INNOPAY, a business of Oliver Wyman. November 2025.</w:t>
      </w:r>
    </w:p>
    <w:p w14:paraId="3C000001" w14:textId="77777777" w:rsidR="00CB0F61" w:rsidRDefault="0084011A">
      <w:pPr>
        <w:jc w:val="both"/>
      </w:pPr>
      <w:r>
        <w:t>M-DPP Project. (2026b). Delphi Stakeholder Consultation — Round 2: Results &amp; Analysis. Fashion Research &amp; Technology, Amsterdam University of Applied Sciences. [Internal project document.]</w:t>
      </w:r>
    </w:p>
    <w:p w14:paraId="5F8E8F2A" w14:textId="77777777" w:rsidR="00CB0F61" w:rsidRDefault="00CB0F61">
      <w:pPr>
        <w:spacing w:before="20" w:after="20"/>
      </w:pPr>
    </w:p>
    <w:p w14:paraId="5F8E8F2B" w14:textId="77777777" w:rsidR="00CB0F61" w:rsidRDefault="0084011A">
      <w:pPr>
        <w:jc w:val="both"/>
      </w:pPr>
      <w:r>
        <w:t>Wolf, M.-A. (2025). DPP status, concerns, needs and ideas — Results from EWG5 'other industries' surveys. CIRPASS-2 Consortium. https://doi.org/10.5281/zenodo.17476597</w:t>
      </w:r>
    </w:p>
    <w:p w14:paraId="5F8E8F2C" w14:textId="77777777" w:rsidR="00CB0F61" w:rsidRDefault="00CB0F61">
      <w:pPr>
        <w:spacing w:after="40"/>
      </w:pPr>
    </w:p>
    <w:p w14:paraId="5F8E8F2D" w14:textId="77777777" w:rsidR="00CB0F61" w:rsidRDefault="00CB0F61">
      <w:pPr>
        <w:pBdr>
          <w:bottom w:val="single" w:sz="2" w:space="1" w:color="AAAAAA"/>
        </w:pBdr>
        <w:spacing w:before="20" w:after="20"/>
      </w:pPr>
    </w:p>
    <w:p w14:paraId="5F8E8F2E" w14:textId="77777777" w:rsidR="00CB0F61" w:rsidRDefault="0084011A">
      <w:pPr>
        <w:spacing w:before="80" w:after="40"/>
        <w:jc w:val="center"/>
      </w:pPr>
      <w:r>
        <w:rPr>
          <w:i/>
          <w:iCs/>
          <w:color w:val="888888"/>
          <w:sz w:val="18"/>
          <w:szCs w:val="18"/>
        </w:rPr>
        <w:t>M-DPP WP1 Deliverable M6 — final version, 2026. Fashion Research &amp; Technology, Amsterdam University of Applied Sciences (HvA).</w:t>
      </w:r>
    </w:p>
    <w:sectPr w:rsidR="00CB0F61">
      <w:headerReference w:type="default" r:id="rId14"/>
      <w:footerReference w:type="default" r:id="rId15"/>
      <w:pgSz w:w="11906" w:h="16838"/>
      <w:pgMar w:top="1440" w:right="1440" w:bottom="1440" w:left="1800" w:header="708" w:footer="708"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7" w:author="Lyske de Bildt" w:date="2026-06-10T07:07:00Z" w:initials="LdB">
    <w:p w14:paraId="772DB6AB" w14:textId="77777777" w:rsidR="00650CBF" w:rsidRDefault="00650CBF" w:rsidP="00650CBF">
      <w:r>
        <w:rPr>
          <w:rStyle w:val="CommentReference"/>
        </w:rPr>
        <w:annotationRef/>
      </w:r>
      <w:r>
        <w:rPr>
          <w:sz w:val="20"/>
          <w:szCs w:val="20"/>
        </w:rPr>
        <w:t>missing footnote</w:t>
      </w:r>
    </w:p>
    <w:p w14:paraId="2FC5C225" w14:textId="77777777" w:rsidR="00650CBF" w:rsidRDefault="00650CBF" w:rsidP="00650CBF"/>
    <w:p w14:paraId="1E1637D7" w14:textId="77777777" w:rsidR="00650CBF" w:rsidRDefault="00650CBF" w:rsidP="00650CBF">
      <w:r>
        <w:rPr>
          <w:sz w:val="20"/>
          <w:szCs w:val="20"/>
        </w:rPr>
        <w:t>no, not missing, numbering is wrong. Word is not cooperating, will fix later.</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E1637D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246DC61" w16cex:dateUtc="2026-06-10T05:0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E1637D7" w16cid:durableId="4246DC6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91AB3" w14:textId="77777777" w:rsidR="00A5546E" w:rsidRDefault="00A5546E">
      <w:r>
        <w:separator/>
      </w:r>
    </w:p>
  </w:endnote>
  <w:endnote w:type="continuationSeparator" w:id="0">
    <w:p w14:paraId="4DA65ED5" w14:textId="77777777" w:rsidR="00A5546E" w:rsidRDefault="00A554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E8F30" w14:textId="1767A9D8" w:rsidR="00CB0F61" w:rsidRDefault="0084011A">
    <w:pPr>
      <w:pBdr>
        <w:top w:val="single" w:sz="2" w:space="4" w:color="CCCCCC"/>
      </w:pBdr>
      <w:tabs>
        <w:tab w:val="right" w:pos="9000"/>
      </w:tabs>
    </w:pPr>
    <w:r>
      <w:rPr>
        <w:color w:val="999999"/>
        <w:sz w:val="17"/>
        <w:szCs w:val="17"/>
      </w:rPr>
      <w:t>HvA Fashion Research &amp; Technology  |  Confidential draft — not for distribution</w:t>
    </w:r>
    <w:r>
      <w:rPr>
        <w:sz w:val="17"/>
        <w:szCs w:val="17"/>
      </w:rPr>
      <w:tab/>
    </w:r>
    <w:r>
      <w:rPr>
        <w:color w:val="666666"/>
        <w:sz w:val="18"/>
        <w:szCs w:val="18"/>
      </w:rPr>
      <w:t xml:space="preserve">Page </w:t>
    </w:r>
    <w:r>
      <w:rPr>
        <w:color w:val="666666"/>
        <w:sz w:val="18"/>
        <w:szCs w:val="18"/>
      </w:rPr>
      <w:fldChar w:fldCharType="begin"/>
    </w:r>
    <w:r>
      <w:rPr>
        <w:color w:val="666666"/>
        <w:sz w:val="18"/>
        <w:szCs w:val="18"/>
      </w:rPr>
      <w:instrText>PAGE</w:instrText>
    </w:r>
    <w:r>
      <w:rPr>
        <w:color w:val="666666"/>
        <w:sz w:val="18"/>
        <w:szCs w:val="18"/>
      </w:rPr>
      <w:fldChar w:fldCharType="separate"/>
    </w:r>
    <w:r w:rsidR="0080020D">
      <w:rPr>
        <w:noProof/>
        <w:color w:val="666666"/>
        <w:sz w:val="18"/>
        <w:szCs w:val="18"/>
      </w:rPr>
      <w:t>1</w:t>
    </w:r>
    <w:r>
      <w:rPr>
        <w:color w:val="666666"/>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1838FE" w14:textId="77777777" w:rsidR="00A5546E" w:rsidRDefault="00A5546E">
      <w:r>
        <w:separator/>
      </w:r>
    </w:p>
  </w:footnote>
  <w:footnote w:type="continuationSeparator" w:id="0">
    <w:p w14:paraId="069430A0" w14:textId="77777777" w:rsidR="00A5546E" w:rsidRDefault="00A5546E">
      <w:r>
        <w:continuationSeparator/>
      </w:r>
    </w:p>
  </w:footnote>
  <w:footnote w:id="1">
    <w:p w14:paraId="5F8E8F31" w14:textId="77777777" w:rsidR="00CB0F61" w:rsidRDefault="0084011A">
      <w:r>
        <w:rPr>
          <w:rStyle w:val="FootnoteReference"/>
        </w:rPr>
        <w:footnoteRef/>
      </w:r>
      <w:r>
        <w:rPr>
          <w:sz w:val="18"/>
          <w:szCs w:val="18"/>
        </w:rPr>
        <w:t>Regulation (EU) 2024/1781 of the European Parliament and of the Council of 13 June 2024 (Ecodesign for Sustainable Products Regulation). OJ L, 2024/1781, 28.6.2024.</w:t>
      </w:r>
    </w:p>
  </w:footnote>
  <w:footnote w:id="2">
    <w:p w14:paraId="5F8E8F32" w14:textId="77777777" w:rsidR="00CB0F61" w:rsidRDefault="0084011A">
      <w:r>
        <w:rPr>
          <w:rStyle w:val="FootnoteReference"/>
        </w:rPr>
        <w:footnoteRef/>
      </w:r>
      <w:r>
        <w:rPr>
          <w:sz w:val="18"/>
          <w:szCs w:val="18"/>
        </w:rPr>
        <w:t>European Commission. (2025, April 16). Ecodesign for Sustainable Products Regulation and Energy Labelling Working Plan 2025–2030. European Commission. https://green-forum.ec.europa.eu</w:t>
      </w:r>
    </w:p>
  </w:footnote>
  <w:footnote w:id="3">
    <w:p w14:paraId="5F8E8F33" w14:textId="77777777" w:rsidR="00CB0F61" w:rsidRDefault="0084011A">
      <w:r>
        <w:rPr>
          <w:rStyle w:val="FootnoteReference"/>
        </w:rPr>
        <w:footnoteRef/>
      </w:r>
      <w:r>
        <w:rPr>
          <w:sz w:val="18"/>
          <w:szCs w:val="18"/>
        </w:rPr>
        <w:t>SGS. (2025, June). EU releases ESPR Working Plan 2025–2030, prioritizing textiles for sustainability action. SGS Safeguards, 073/25. https://www.sgs.com</w:t>
      </w:r>
    </w:p>
  </w:footnote>
  <w:footnote w:id="4">
    <w:p w14:paraId="6108E4BE" w14:textId="77777777" w:rsidR="0080020D" w:rsidRDefault="0080020D"/>
    <w:p w14:paraId="5F8E8F38" w14:textId="77777777" w:rsidR="0084011A" w:rsidRDefault="0084011A"/>
  </w:footnote>
  <w:footnote w:id="5">
    <w:p w14:paraId="5F8E8F34" w14:textId="77777777" w:rsidR="00CB0F61" w:rsidRDefault="0084011A">
      <w:r>
        <w:rPr>
          <w:rStyle w:val="FootnoteReference"/>
        </w:rPr>
        <w:footnoteRef/>
      </w:r>
      <w:r>
        <w:rPr>
          <w:sz w:val="18"/>
          <w:szCs w:val="18"/>
        </w:rPr>
        <w:t>European Commission, Joint Research Centre. (2026). Methodology for defining data requirements for the Digital Product Passport under the ESPR framework (JRC145830). Publications Office of the European Union.</w:t>
      </w:r>
    </w:p>
  </w:footnote>
  <w:footnote w:id="6">
    <w:p w14:paraId="2D3C48F5" w14:textId="77777777" w:rsidR="0080020D" w:rsidRDefault="0080020D"/>
    <w:p w14:paraId="5F8E8F39" w14:textId="77777777" w:rsidR="0084011A" w:rsidRDefault="0084011A"/>
  </w:footnote>
  <w:footnote w:id="7">
    <w:p w14:paraId="5F8E8F35" w14:textId="77777777" w:rsidR="00CB0F61" w:rsidRDefault="0084011A">
      <w:r>
        <w:rPr>
          <w:rStyle w:val="FootnoteReference"/>
        </w:rPr>
        <w:footnoteRef/>
      </w:r>
      <w:r>
        <w:rPr>
          <w:sz w:val="18"/>
          <w:szCs w:val="18"/>
        </w:rPr>
        <w:t>Maigre, R., Haav, H.-M., Robal, T., Wolf, M.-A., &amp; Danash, F. (2025). Ontology Requirements Specification for an EU DPP Core Ontology Proposal. CIRPASS-2 Consortium. https://doi.org/10.5281/zenodo.14892666</w:t>
      </w:r>
    </w:p>
  </w:footnote>
  <w:footnote w:id="8">
    <w:p w14:paraId="5F8E8F36" w14:textId="70DDB4A3" w:rsidR="00CB0F61" w:rsidRDefault="0084011A">
      <w:r>
        <w:rPr>
          <w:rStyle w:val="FootnoteReference"/>
        </w:rPr>
        <w:footnoteRef/>
      </w:r>
      <w:r w:rsidR="009E4151">
        <w:rPr>
          <w:sz w:val="18"/>
          <w:szCs w:val="18"/>
        </w:rPr>
        <w:t xml:space="preserve"> </w:t>
      </w:r>
      <w:r>
        <w:rPr>
          <w:sz w:val="18"/>
          <w:szCs w:val="18"/>
        </w:rPr>
        <w:t>The standardisation request C(2024)5423 was issued by the European Commission to CEN/CENELEC/ETSI, mandating the development of harmonised standards for the DPP system. JTC 24 is the resulting joint technical committee.</w:t>
      </w:r>
    </w:p>
  </w:footnote>
  <w:footnote w:id="9">
    <w:p w14:paraId="7CC7BA1D" w14:textId="77777777" w:rsidR="0080020D" w:rsidRDefault="0080020D"/>
    <w:p w14:paraId="5F8E8F3A" w14:textId="77777777" w:rsidR="0084011A" w:rsidRDefault="0084011A"/>
  </w:footnote>
  <w:footnote w:id="10">
    <w:p w14:paraId="153BE5F2" w14:textId="77777777" w:rsidR="0080020D" w:rsidRDefault="0080020D"/>
    <w:p w14:paraId="5F8E8F3B" w14:textId="77777777" w:rsidR="0084011A" w:rsidRDefault="0084011A"/>
  </w:footnote>
  <w:footnote w:id="11">
    <w:p w14:paraId="5F8E8F37" w14:textId="77777777" w:rsidR="00CB0F61" w:rsidRDefault="0084011A">
      <w:r>
        <w:rPr>
          <w:rStyle w:val="FootnoteReference"/>
        </w:rPr>
        <w:footnoteRef/>
      </w:r>
      <w:r>
        <w:rPr>
          <w:sz w:val="18"/>
          <w:szCs w:val="18"/>
        </w:rPr>
        <w:t>Wolf, M.-A. (2025). DPP status, concerns, needs and ideas — Results from EWG5 'other industries' surveys. CIRPASS-2 consortium. https://doi.org/10.5281/zenodo.17476597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E8F2F" w14:textId="77777777" w:rsidR="00CB0F61" w:rsidRDefault="0084011A">
    <w:pPr>
      <w:pBdr>
        <w:bottom w:val="single" w:sz="2" w:space="4" w:color="CCCCCC"/>
      </w:pBdr>
    </w:pPr>
    <w:r>
      <w:rPr>
        <w:color w:val="666666"/>
        <w:sz w:val="18"/>
        <w:szCs w:val="18"/>
      </w:rPr>
      <w:t>M-DPP Project  |  WP1 Deliverable M6</w:t>
    </w:r>
    <w:r>
      <w:rPr>
        <w:i/>
        <w:iCs/>
        <w:color w:val="666666"/>
        <w:sz w:val="18"/>
        <w:szCs w:val="18"/>
      </w:rPr>
      <w:t xml:space="preserve">  |  DPP Requirement Report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EB03D2"/>
    <w:multiLevelType w:val="hybridMultilevel"/>
    <w:tmpl w:val="8006E20A"/>
    <w:lvl w:ilvl="0" w:tplc="5D64360A">
      <w:start w:val="1"/>
      <w:numFmt w:val="bullet"/>
      <w:lvlText w:val="–"/>
      <w:lvlJc w:val="left"/>
      <w:pPr>
        <w:ind w:left="720" w:hanging="360"/>
      </w:pPr>
    </w:lvl>
    <w:lvl w:ilvl="1" w:tplc="9A7C11E0">
      <w:start w:val="1"/>
      <w:numFmt w:val="bullet"/>
      <w:lvlText w:val="○"/>
      <w:lvlJc w:val="left"/>
      <w:pPr>
        <w:ind w:left="1080" w:hanging="360"/>
      </w:pPr>
    </w:lvl>
    <w:lvl w:ilvl="2" w:tplc="053ABD4C">
      <w:numFmt w:val="decimal"/>
      <w:lvlText w:val=""/>
      <w:lvlJc w:val="left"/>
    </w:lvl>
    <w:lvl w:ilvl="3" w:tplc="830A92C2">
      <w:numFmt w:val="decimal"/>
      <w:lvlText w:val=""/>
      <w:lvlJc w:val="left"/>
    </w:lvl>
    <w:lvl w:ilvl="4" w:tplc="9828D266">
      <w:numFmt w:val="decimal"/>
      <w:lvlText w:val=""/>
      <w:lvlJc w:val="left"/>
    </w:lvl>
    <w:lvl w:ilvl="5" w:tplc="1E4000BA">
      <w:numFmt w:val="decimal"/>
      <w:lvlText w:val=""/>
      <w:lvlJc w:val="left"/>
    </w:lvl>
    <w:lvl w:ilvl="6" w:tplc="42427238">
      <w:numFmt w:val="decimal"/>
      <w:lvlText w:val=""/>
      <w:lvlJc w:val="left"/>
    </w:lvl>
    <w:lvl w:ilvl="7" w:tplc="638EBA90">
      <w:numFmt w:val="decimal"/>
      <w:lvlText w:val=""/>
      <w:lvlJc w:val="left"/>
    </w:lvl>
    <w:lvl w:ilvl="8" w:tplc="D152BDE2">
      <w:numFmt w:val="decimal"/>
      <w:lvlText w:val=""/>
      <w:lvlJc w:val="left"/>
    </w:lvl>
  </w:abstractNum>
  <w:abstractNum w:abstractNumId="1" w15:restartNumberingAfterBreak="0">
    <w:nsid w:val="7B04148C"/>
    <w:multiLevelType w:val="hybridMultilevel"/>
    <w:tmpl w:val="E65E4230"/>
    <w:lvl w:ilvl="0" w:tplc="7B3C442E">
      <w:start w:val="1"/>
      <w:numFmt w:val="bullet"/>
      <w:lvlText w:val="●"/>
      <w:lvlJc w:val="left"/>
      <w:pPr>
        <w:ind w:left="720" w:hanging="360"/>
      </w:pPr>
    </w:lvl>
    <w:lvl w:ilvl="1" w:tplc="FED24608">
      <w:start w:val="1"/>
      <w:numFmt w:val="bullet"/>
      <w:lvlText w:val="○"/>
      <w:lvlJc w:val="left"/>
      <w:pPr>
        <w:ind w:left="1440" w:hanging="360"/>
      </w:pPr>
    </w:lvl>
    <w:lvl w:ilvl="2" w:tplc="ECDEC448">
      <w:start w:val="1"/>
      <w:numFmt w:val="bullet"/>
      <w:lvlText w:val="■"/>
      <w:lvlJc w:val="left"/>
      <w:pPr>
        <w:ind w:left="2160" w:hanging="360"/>
      </w:pPr>
    </w:lvl>
    <w:lvl w:ilvl="3" w:tplc="AE8CA89A">
      <w:start w:val="1"/>
      <w:numFmt w:val="bullet"/>
      <w:lvlText w:val="●"/>
      <w:lvlJc w:val="left"/>
      <w:pPr>
        <w:ind w:left="2880" w:hanging="360"/>
      </w:pPr>
    </w:lvl>
    <w:lvl w:ilvl="4" w:tplc="BC06CB54">
      <w:start w:val="1"/>
      <w:numFmt w:val="bullet"/>
      <w:lvlText w:val="○"/>
      <w:lvlJc w:val="left"/>
      <w:pPr>
        <w:ind w:left="3600" w:hanging="360"/>
      </w:pPr>
    </w:lvl>
    <w:lvl w:ilvl="5" w:tplc="EC229C0E">
      <w:start w:val="1"/>
      <w:numFmt w:val="bullet"/>
      <w:lvlText w:val="■"/>
      <w:lvlJc w:val="left"/>
      <w:pPr>
        <w:ind w:left="4320" w:hanging="360"/>
      </w:pPr>
    </w:lvl>
    <w:lvl w:ilvl="6" w:tplc="52BEAA7E">
      <w:start w:val="1"/>
      <w:numFmt w:val="bullet"/>
      <w:lvlText w:val="●"/>
      <w:lvlJc w:val="left"/>
      <w:pPr>
        <w:ind w:left="5040" w:hanging="360"/>
      </w:pPr>
    </w:lvl>
    <w:lvl w:ilvl="7" w:tplc="15281610">
      <w:start w:val="1"/>
      <w:numFmt w:val="bullet"/>
      <w:lvlText w:val="●"/>
      <w:lvlJc w:val="left"/>
      <w:pPr>
        <w:ind w:left="5760" w:hanging="360"/>
      </w:pPr>
    </w:lvl>
    <w:lvl w:ilvl="8" w:tplc="C4F20CDE">
      <w:start w:val="1"/>
      <w:numFmt w:val="bullet"/>
      <w:lvlText w:val="●"/>
      <w:lvlJc w:val="left"/>
      <w:pPr>
        <w:ind w:left="6480" w:hanging="360"/>
      </w:pPr>
    </w:lvl>
  </w:abstractNum>
  <w:num w:numId="1" w16cid:durableId="1986273663">
    <w:abstractNumId w:val="1"/>
    <w:lvlOverride w:ilvl="0">
      <w:startOverride w:val="1"/>
    </w:lvlOverride>
  </w:num>
  <w:num w:numId="2" w16cid:durableId="917325674">
    <w:abstractNumId w:val="0"/>
    <w:lvlOverride w:ilvl="0">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yske de Bildt">
    <w15:presenceInfo w15:providerId="AD" w15:userId="S::l.g.de.bildt@hva.nl::fdc9ad66-3249-4d71-9992-4b50c8a02b5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5"/>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0F61"/>
    <w:rsid w:val="00014C08"/>
    <w:rsid w:val="0003089A"/>
    <w:rsid w:val="00046B73"/>
    <w:rsid w:val="000737E6"/>
    <w:rsid w:val="000746E5"/>
    <w:rsid w:val="000C4B24"/>
    <w:rsid w:val="000E1821"/>
    <w:rsid w:val="00114305"/>
    <w:rsid w:val="00157A86"/>
    <w:rsid w:val="00161D1B"/>
    <w:rsid w:val="00164931"/>
    <w:rsid w:val="001745EF"/>
    <w:rsid w:val="001765DA"/>
    <w:rsid w:val="00196B3D"/>
    <w:rsid w:val="001C0F04"/>
    <w:rsid w:val="001E015B"/>
    <w:rsid w:val="00243C6C"/>
    <w:rsid w:val="002503ED"/>
    <w:rsid w:val="00251327"/>
    <w:rsid w:val="00255859"/>
    <w:rsid w:val="00262583"/>
    <w:rsid w:val="002874CD"/>
    <w:rsid w:val="002C73EF"/>
    <w:rsid w:val="002D7FF9"/>
    <w:rsid w:val="002E5251"/>
    <w:rsid w:val="002E7B2F"/>
    <w:rsid w:val="00307F68"/>
    <w:rsid w:val="00312624"/>
    <w:rsid w:val="00346FA5"/>
    <w:rsid w:val="003B10E2"/>
    <w:rsid w:val="003B13A7"/>
    <w:rsid w:val="003B4D2A"/>
    <w:rsid w:val="003D5055"/>
    <w:rsid w:val="003D5863"/>
    <w:rsid w:val="003E260F"/>
    <w:rsid w:val="003E445E"/>
    <w:rsid w:val="00436D35"/>
    <w:rsid w:val="00441E62"/>
    <w:rsid w:val="00450E9D"/>
    <w:rsid w:val="00464E17"/>
    <w:rsid w:val="004A1D39"/>
    <w:rsid w:val="004A335D"/>
    <w:rsid w:val="00504F90"/>
    <w:rsid w:val="00511B6F"/>
    <w:rsid w:val="00547169"/>
    <w:rsid w:val="00575401"/>
    <w:rsid w:val="005C0A9C"/>
    <w:rsid w:val="005C3815"/>
    <w:rsid w:val="00647C9F"/>
    <w:rsid w:val="00650CBF"/>
    <w:rsid w:val="006B593C"/>
    <w:rsid w:val="006E18B3"/>
    <w:rsid w:val="006F62B9"/>
    <w:rsid w:val="00744C8A"/>
    <w:rsid w:val="00756068"/>
    <w:rsid w:val="00776703"/>
    <w:rsid w:val="007A04C5"/>
    <w:rsid w:val="007D3677"/>
    <w:rsid w:val="007D3F31"/>
    <w:rsid w:val="0080020D"/>
    <w:rsid w:val="00802659"/>
    <w:rsid w:val="0084011A"/>
    <w:rsid w:val="008679CB"/>
    <w:rsid w:val="008C42A2"/>
    <w:rsid w:val="008E63D0"/>
    <w:rsid w:val="008F400F"/>
    <w:rsid w:val="00907F37"/>
    <w:rsid w:val="00910D32"/>
    <w:rsid w:val="009314A1"/>
    <w:rsid w:val="009C2FB6"/>
    <w:rsid w:val="009E4151"/>
    <w:rsid w:val="00A04D3A"/>
    <w:rsid w:val="00A06ACF"/>
    <w:rsid w:val="00A25A80"/>
    <w:rsid w:val="00A5546E"/>
    <w:rsid w:val="00A81422"/>
    <w:rsid w:val="00AC1137"/>
    <w:rsid w:val="00AC5D94"/>
    <w:rsid w:val="00AF4301"/>
    <w:rsid w:val="00B0536B"/>
    <w:rsid w:val="00B063FF"/>
    <w:rsid w:val="00BC5C2E"/>
    <w:rsid w:val="00BD6D8B"/>
    <w:rsid w:val="00CA42B7"/>
    <w:rsid w:val="00CB0F61"/>
    <w:rsid w:val="00CE10C5"/>
    <w:rsid w:val="00D24E5F"/>
    <w:rsid w:val="00D3652E"/>
    <w:rsid w:val="00D424ED"/>
    <w:rsid w:val="00D60EF1"/>
    <w:rsid w:val="00D64103"/>
    <w:rsid w:val="00D75812"/>
    <w:rsid w:val="00DA1E5C"/>
    <w:rsid w:val="00DB2F55"/>
    <w:rsid w:val="00DB4DE5"/>
    <w:rsid w:val="00DC583B"/>
    <w:rsid w:val="00E84A8D"/>
    <w:rsid w:val="00EB1509"/>
    <w:rsid w:val="00F11BAF"/>
    <w:rsid w:val="00F30CA6"/>
    <w:rsid w:val="00F44E4D"/>
    <w:rsid w:val="00F62B12"/>
    <w:rsid w:val="00F63079"/>
    <w:rsid w:val="00F81224"/>
    <w:rsid w:val="00FA77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F8E8EB3"/>
  <w15:docId w15:val="{378CAFA2-F6FB-994C-9668-7767A9C2E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000000"/>
        <w:sz w:val="22"/>
        <w:szCs w:val="22"/>
        <w:lang w:val="en-US" w:eastAsia="en-US"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4E5F"/>
  </w:style>
  <w:style w:type="paragraph" w:styleId="Heading1">
    <w:name w:val="heading 1"/>
    <w:uiPriority w:val="9"/>
    <w:qFormat/>
    <w:pPr>
      <w:spacing w:before="400" w:after="160"/>
      <w:outlineLvl w:val="0"/>
    </w:pPr>
    <w:rPr>
      <w:b/>
      <w:bCs/>
      <w:color w:val="1F4E79"/>
      <w:sz w:val="32"/>
      <w:szCs w:val="32"/>
    </w:rPr>
  </w:style>
  <w:style w:type="paragraph" w:styleId="Heading2">
    <w:name w:val="heading 2"/>
    <w:uiPriority w:val="9"/>
    <w:unhideWhenUsed/>
    <w:qFormat/>
    <w:pPr>
      <w:spacing w:before="280" w:after="100"/>
      <w:outlineLvl w:val="1"/>
    </w:pPr>
    <w:rPr>
      <w:b/>
      <w:bCs/>
      <w:color w:val="1F4E79"/>
      <w:sz w:val="26"/>
      <w:szCs w:val="26"/>
    </w:rPr>
  </w:style>
  <w:style w:type="paragraph" w:styleId="Heading3">
    <w:name w:val="heading 3"/>
    <w:uiPriority w:val="9"/>
    <w:semiHidden/>
    <w:unhideWhenUsed/>
    <w:qFormat/>
    <w:pPr>
      <w:spacing w:before="200" w:after="80"/>
      <w:outlineLvl w:val="2"/>
    </w:pPr>
    <w:rPr>
      <w:b/>
      <w:bCs/>
      <w:color w:val="2E74B5"/>
      <w:sz w:val="23"/>
      <w:szCs w:val="23"/>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TOC1">
    <w:name w:val="toc 1"/>
    <w:basedOn w:val="Normal"/>
    <w:next w:val="Normal"/>
    <w:autoRedefine/>
    <w:uiPriority w:val="39"/>
    <w:unhideWhenUsed/>
    <w:rsid w:val="0080020D"/>
    <w:pPr>
      <w:spacing w:after="100"/>
    </w:pPr>
  </w:style>
  <w:style w:type="paragraph" w:styleId="TOC2">
    <w:name w:val="toc 2"/>
    <w:basedOn w:val="Normal"/>
    <w:next w:val="Normal"/>
    <w:autoRedefine/>
    <w:uiPriority w:val="39"/>
    <w:unhideWhenUsed/>
    <w:rsid w:val="0080020D"/>
    <w:pPr>
      <w:spacing w:after="100"/>
      <w:ind w:left="220"/>
    </w:pPr>
  </w:style>
  <w:style w:type="character" w:styleId="CommentReference">
    <w:name w:val="annotation reference"/>
    <w:basedOn w:val="DefaultParagraphFont"/>
    <w:uiPriority w:val="99"/>
    <w:semiHidden/>
    <w:unhideWhenUsed/>
    <w:rsid w:val="00647C9F"/>
    <w:rPr>
      <w:sz w:val="16"/>
      <w:szCs w:val="16"/>
    </w:rPr>
  </w:style>
  <w:style w:type="paragraph" w:styleId="CommentText">
    <w:name w:val="annotation text"/>
    <w:basedOn w:val="Normal"/>
    <w:link w:val="CommentTextChar"/>
    <w:uiPriority w:val="99"/>
    <w:semiHidden/>
    <w:unhideWhenUsed/>
    <w:rsid w:val="00647C9F"/>
    <w:rPr>
      <w:sz w:val="20"/>
      <w:szCs w:val="20"/>
    </w:rPr>
  </w:style>
  <w:style w:type="character" w:customStyle="1" w:styleId="CommentTextChar">
    <w:name w:val="Comment Text Char"/>
    <w:basedOn w:val="DefaultParagraphFont"/>
    <w:link w:val="CommentText"/>
    <w:uiPriority w:val="99"/>
    <w:semiHidden/>
    <w:rsid w:val="00647C9F"/>
    <w:rPr>
      <w:sz w:val="20"/>
      <w:szCs w:val="20"/>
    </w:rPr>
  </w:style>
  <w:style w:type="paragraph" w:styleId="CommentSubject">
    <w:name w:val="annotation subject"/>
    <w:basedOn w:val="CommentText"/>
    <w:next w:val="CommentText"/>
    <w:link w:val="CommentSubjectChar"/>
    <w:uiPriority w:val="99"/>
    <w:semiHidden/>
    <w:unhideWhenUsed/>
    <w:rsid w:val="00647C9F"/>
    <w:rPr>
      <w:b/>
      <w:bCs/>
    </w:rPr>
  </w:style>
  <w:style w:type="character" w:customStyle="1" w:styleId="CommentSubjectChar">
    <w:name w:val="Comment Subject Char"/>
    <w:basedOn w:val="CommentTextChar"/>
    <w:link w:val="CommentSubject"/>
    <w:uiPriority w:val="99"/>
    <w:semiHidden/>
    <w:rsid w:val="00647C9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8/08/relationships/commentsExtensible" Target="commentsExtensible.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6/09/relationships/commentsIds" Target="commentsIds.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comments" Target="comments.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864B497AD24CD42829E93357CAA6966" ma:contentTypeVersion="12" ma:contentTypeDescription="Een nieuw document maken." ma:contentTypeScope="" ma:versionID="cb0fe99db4eaca7ceefbc59582ab60d3">
  <xsd:schema xmlns:xsd="http://www.w3.org/2001/XMLSchema" xmlns:xs="http://www.w3.org/2001/XMLSchema" xmlns:p="http://schemas.microsoft.com/office/2006/metadata/properties" xmlns:ns2="54f4970c-43ff-4be9-b338-22800fa8aacd" xmlns:ns3="c78a00b1-7abf-47bd-b148-76066e1c00cc" targetNamespace="http://schemas.microsoft.com/office/2006/metadata/properties" ma:root="true" ma:fieldsID="cdbce8f87d23be8f904efbe5000c25fa" ns2:_="" ns3:_="">
    <xsd:import namespace="54f4970c-43ff-4be9-b338-22800fa8aacd"/>
    <xsd:import namespace="c78a00b1-7abf-47bd-b148-76066e1c00c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f4970c-43ff-4be9-b338-22800fa8aa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32d39682-ccf7-48d8-962f-2ca2d3d56b7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78a00b1-7abf-47bd-b148-76066e1c00c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c59b752-c7a7-453a-b76f-21f5fa244d68}" ma:internalName="TaxCatchAll" ma:showField="CatchAllData" ma:web="c78a00b1-7abf-47bd-b148-76066e1c00c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4f4970c-43ff-4be9-b338-22800fa8aacd">
      <Terms xmlns="http://schemas.microsoft.com/office/infopath/2007/PartnerControls"/>
    </lcf76f155ced4ddcb4097134ff3c332f>
    <TaxCatchAll xmlns="c78a00b1-7abf-47bd-b148-76066e1c00c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24127F8-00A7-4113-9B9A-7D7AB7D6CB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f4970c-43ff-4be9-b338-22800fa8aacd"/>
    <ds:schemaRef ds:uri="c78a00b1-7abf-47bd-b148-76066e1c00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4E57B0F-8E0C-4392-A2CF-A52C85A25CA9}">
  <ds:schemaRefs>
    <ds:schemaRef ds:uri="http://schemas.microsoft.com/office/2006/metadata/properties"/>
    <ds:schemaRef ds:uri="http://schemas.microsoft.com/office/infopath/2007/PartnerControls"/>
    <ds:schemaRef ds:uri="54f4970c-43ff-4be9-b338-22800fa8aacd"/>
    <ds:schemaRef ds:uri="c78a00b1-7abf-47bd-b148-76066e1c00cc"/>
  </ds:schemaRefs>
</ds:datastoreItem>
</file>

<file path=customXml/itemProps3.xml><?xml version="1.0" encoding="utf-8"?>
<ds:datastoreItem xmlns:ds="http://schemas.openxmlformats.org/officeDocument/2006/customXml" ds:itemID="{16EA4449-703D-49A3-B12F-AF822C38DE4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110</TotalTime>
  <Pages>37</Pages>
  <Words>16859</Words>
  <Characters>111610</Characters>
  <Application>Microsoft Office Word</Application>
  <DocSecurity>0</DocSecurity>
  <Lines>9300</Lines>
  <Paragraphs>6423</Paragraphs>
  <ScaleCrop>false</ScaleCrop>
  <Company/>
  <LinksUpToDate>false</LinksUpToDate>
  <CharactersWithSpaces>122046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Lyske de Bildt</cp:lastModifiedBy>
  <cp:revision>99</cp:revision>
  <dcterms:created xsi:type="dcterms:W3CDTF">2026-05-05T15:12:00Z</dcterms:created>
  <dcterms:modified xsi:type="dcterms:W3CDTF">2026-06-10T14:24:00Z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0x0101003864B497AD24CD42829E93357CAA6966</vt:lpwstr>
  </property>
  <property fmtid="{D5CDD505-2E9C-101B-9397-08002B2CF9AE}" pid="3" name="MediaServiceImageTags">
    <vt:lpwstr/>
  </property>
</Properties>
</file>