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63103" w14:textId="14AC2A09" w:rsidR="00DD6EDB" w:rsidRDefault="009A766C">
      <w:pPr>
        <w:rPr>
          <w:lang w:val="en-US"/>
        </w:rPr>
      </w:pPr>
      <w:r>
        <w:rPr>
          <w:lang w:val="en-US"/>
        </w:rPr>
        <w:t>Key Activity</w:t>
      </w:r>
    </w:p>
    <w:p w14:paraId="323D7B6C" w14:textId="7A26598D" w:rsidR="009A766C" w:rsidRDefault="009A766C">
      <w:pPr>
        <w:rPr>
          <w:lang w:val="en-US"/>
        </w:rPr>
      </w:pPr>
      <w:r w:rsidRPr="009A766C">
        <w:rPr>
          <w:lang w:val="en-US"/>
        </w:rPr>
        <w:t>Stakeholder Engagement &amp; Policy Alignment: Conducting Delphi-method stakeholder consultations to establish compliance requirements while prioritizing process simplification</w:t>
      </w:r>
    </w:p>
    <w:p w14:paraId="2657FF8F" w14:textId="77777777" w:rsidR="009A766C" w:rsidRDefault="009A766C">
      <w:pPr>
        <w:rPr>
          <w:lang w:val="en-US"/>
        </w:rPr>
      </w:pPr>
    </w:p>
    <w:p w14:paraId="608EAF8A" w14:textId="3087E917" w:rsidR="009A766C" w:rsidRDefault="009A766C">
      <w:pPr>
        <w:rPr>
          <w:lang w:val="en-US"/>
        </w:rPr>
      </w:pPr>
      <w:r>
        <w:rPr>
          <w:lang w:val="en-US"/>
        </w:rPr>
        <w:t>Delphi-method</w:t>
      </w:r>
    </w:p>
    <w:p w14:paraId="5F522BBE" w14:textId="77777777" w:rsidR="009A766C" w:rsidRPr="009A766C" w:rsidRDefault="009A766C" w:rsidP="009A766C">
      <w:r w:rsidRPr="009A766C">
        <w:t>The method rests on four key principles:</w:t>
      </w:r>
    </w:p>
    <w:p w14:paraId="6E650258" w14:textId="77777777" w:rsidR="009A766C" w:rsidRPr="009A766C" w:rsidRDefault="009A766C" w:rsidP="009A766C">
      <w:pPr>
        <w:numPr>
          <w:ilvl w:val="0"/>
          <w:numId w:val="2"/>
        </w:numPr>
      </w:pPr>
      <w:r w:rsidRPr="009A766C">
        <w:rPr>
          <w:b/>
          <w:bCs/>
        </w:rPr>
        <w:t>Expert panel</w:t>
      </w:r>
      <w:r w:rsidRPr="009A766C">
        <w:br/>
        <w:t>A carefully selected group of experts with relevant, complementary knowledge.</w:t>
      </w:r>
    </w:p>
    <w:p w14:paraId="3417E082" w14:textId="77777777" w:rsidR="009A766C" w:rsidRPr="009A766C" w:rsidRDefault="009A766C" w:rsidP="009A766C">
      <w:pPr>
        <w:numPr>
          <w:ilvl w:val="0"/>
          <w:numId w:val="2"/>
        </w:numPr>
      </w:pPr>
      <w:r w:rsidRPr="009A766C">
        <w:rPr>
          <w:b/>
          <w:bCs/>
        </w:rPr>
        <w:t>Anonymity</w:t>
      </w:r>
      <w:r w:rsidRPr="009A766C">
        <w:br/>
        <w:t>Experts do not know who gave which response.</w:t>
      </w:r>
      <w:r w:rsidRPr="009A766C">
        <w:br/>
        <w:t>→ Reduces authority bias, peer pressure, and reputational effects.</w:t>
      </w:r>
    </w:p>
    <w:p w14:paraId="130C9C7E" w14:textId="77777777" w:rsidR="009A766C" w:rsidRPr="009A766C" w:rsidRDefault="009A766C" w:rsidP="009A766C">
      <w:pPr>
        <w:numPr>
          <w:ilvl w:val="0"/>
          <w:numId w:val="2"/>
        </w:numPr>
      </w:pPr>
      <w:r w:rsidRPr="009A766C">
        <w:rPr>
          <w:b/>
          <w:bCs/>
        </w:rPr>
        <w:t>Iteration with feedback</w:t>
      </w:r>
      <w:r w:rsidRPr="009A766C">
        <w:br/>
        <w:t>Multiple rounds of questioning are conducted.</w:t>
      </w:r>
      <w:r w:rsidRPr="009A766C">
        <w:br/>
        <w:t xml:space="preserve">After each round, participants receive a </w:t>
      </w:r>
      <w:r w:rsidRPr="009A766C">
        <w:rPr>
          <w:b/>
          <w:bCs/>
        </w:rPr>
        <w:t>summary of the group’s responses</w:t>
      </w:r>
      <w:r w:rsidRPr="009A766C">
        <w:t>.</w:t>
      </w:r>
    </w:p>
    <w:p w14:paraId="65DC4944" w14:textId="77777777" w:rsidR="009A766C" w:rsidRPr="009A766C" w:rsidRDefault="009A766C" w:rsidP="009A766C">
      <w:pPr>
        <w:numPr>
          <w:ilvl w:val="0"/>
          <w:numId w:val="2"/>
        </w:numPr>
      </w:pPr>
      <w:r w:rsidRPr="009A766C">
        <w:rPr>
          <w:b/>
          <w:bCs/>
        </w:rPr>
        <w:t>Controlled convergence</w:t>
      </w:r>
      <w:r w:rsidRPr="009A766C">
        <w:br/>
        <w:t xml:space="preserve">Experts are invited to </w:t>
      </w:r>
      <w:r w:rsidRPr="009A766C">
        <w:rPr>
          <w:b/>
          <w:bCs/>
        </w:rPr>
        <w:t>revise or maintain</w:t>
      </w:r>
      <w:r w:rsidRPr="009A766C">
        <w:t xml:space="preserve"> their views </w:t>
      </w:r>
      <w:proofErr w:type="gramStart"/>
      <w:r w:rsidRPr="009A766C">
        <w:t>in light of</w:t>
      </w:r>
      <w:proofErr w:type="gramEnd"/>
      <w:r w:rsidRPr="009A766C">
        <w:t xml:space="preserve"> the group feedback.</w:t>
      </w:r>
      <w:r w:rsidRPr="009A766C">
        <w:br/>
        <w:t xml:space="preserve">→ The goal is </w:t>
      </w:r>
      <w:r w:rsidRPr="009A766C">
        <w:rPr>
          <w:i/>
          <w:iCs/>
        </w:rPr>
        <w:t>reasoned convergence</w:t>
      </w:r>
      <w:r w:rsidRPr="009A766C">
        <w:t>, not forced consensus.</w:t>
      </w:r>
    </w:p>
    <w:p w14:paraId="1FA78F04" w14:textId="77777777" w:rsidR="009A766C" w:rsidRDefault="009A766C">
      <w:pPr>
        <w:rPr>
          <w:lang w:val="en-US"/>
        </w:rPr>
      </w:pPr>
    </w:p>
    <w:p w14:paraId="53CD586A" w14:textId="3DE55F95" w:rsidR="009A766C" w:rsidRDefault="009A766C">
      <w:pPr>
        <w:rPr>
          <w:lang w:val="en-US"/>
        </w:rPr>
      </w:pPr>
      <w:r>
        <w:rPr>
          <w:lang w:val="en-US"/>
        </w:rPr>
        <w:t>Steps</w:t>
      </w:r>
    </w:p>
    <w:p w14:paraId="01C1B075" w14:textId="77777777" w:rsidR="009A766C" w:rsidRPr="009A766C" w:rsidRDefault="009A766C" w:rsidP="009A766C">
      <w:r w:rsidRPr="009A766C">
        <w:rPr>
          <w:b/>
          <w:bCs/>
        </w:rPr>
        <w:t>1. Define the problem</w:t>
      </w:r>
    </w:p>
    <w:p w14:paraId="7E9B2289" w14:textId="77777777" w:rsidR="009A766C" w:rsidRPr="009A766C" w:rsidRDefault="009A766C" w:rsidP="009A766C">
      <w:r w:rsidRPr="009A766C">
        <w:t xml:space="preserve">The research team formulates a </w:t>
      </w:r>
      <w:r w:rsidRPr="009A766C">
        <w:rPr>
          <w:b/>
          <w:bCs/>
        </w:rPr>
        <w:t>clear, bounded question</w:t>
      </w:r>
      <w:r w:rsidRPr="009A766C">
        <w:t>, for example:</w:t>
      </w:r>
    </w:p>
    <w:p w14:paraId="2088DE28" w14:textId="77777777" w:rsidR="009A766C" w:rsidRPr="009A766C" w:rsidRDefault="009A766C" w:rsidP="009A766C">
      <w:pPr>
        <w:numPr>
          <w:ilvl w:val="0"/>
          <w:numId w:val="3"/>
        </w:numPr>
      </w:pPr>
      <w:r w:rsidRPr="009A766C">
        <w:t>Future scenarios</w:t>
      </w:r>
    </w:p>
    <w:p w14:paraId="3DBF5CCE" w14:textId="77777777" w:rsidR="009A766C" w:rsidRPr="009A766C" w:rsidRDefault="009A766C" w:rsidP="009A766C">
      <w:pPr>
        <w:numPr>
          <w:ilvl w:val="0"/>
          <w:numId w:val="3"/>
        </w:numPr>
      </w:pPr>
      <w:r w:rsidRPr="009A766C">
        <w:t>Priority setting</w:t>
      </w:r>
    </w:p>
    <w:p w14:paraId="71580E1E" w14:textId="77777777" w:rsidR="009A766C" w:rsidRPr="009A766C" w:rsidRDefault="009A766C" w:rsidP="009A766C">
      <w:pPr>
        <w:numPr>
          <w:ilvl w:val="0"/>
          <w:numId w:val="3"/>
        </w:numPr>
      </w:pPr>
      <w:r w:rsidRPr="009A766C">
        <w:t>Risks and barriers</w:t>
      </w:r>
    </w:p>
    <w:p w14:paraId="5A229972" w14:textId="77777777" w:rsidR="009A766C" w:rsidRPr="009A766C" w:rsidRDefault="009A766C" w:rsidP="009A766C">
      <w:pPr>
        <w:numPr>
          <w:ilvl w:val="0"/>
          <w:numId w:val="3"/>
        </w:numPr>
      </w:pPr>
      <w:r w:rsidRPr="009A766C">
        <w:t>Design requirements</w:t>
      </w:r>
    </w:p>
    <w:p w14:paraId="7C6590B0" w14:textId="77777777" w:rsidR="009A766C" w:rsidRPr="009A766C" w:rsidRDefault="009A766C" w:rsidP="009A766C">
      <w:pPr>
        <w:numPr>
          <w:ilvl w:val="0"/>
          <w:numId w:val="3"/>
        </w:numPr>
      </w:pPr>
      <w:r w:rsidRPr="009A766C">
        <w:t>Policy options</w:t>
      </w:r>
    </w:p>
    <w:p w14:paraId="51E59328" w14:textId="77777777" w:rsidR="009A766C" w:rsidRPr="009A766C" w:rsidRDefault="009A766C" w:rsidP="009A766C">
      <w:r w:rsidRPr="009A766C">
        <w:rPr>
          <w:b/>
          <w:bCs/>
        </w:rPr>
        <w:t>2. Select experts</w:t>
      </w:r>
    </w:p>
    <w:p w14:paraId="6F4B4D01" w14:textId="77777777" w:rsidR="009A766C" w:rsidRPr="009A766C" w:rsidRDefault="009A766C" w:rsidP="009A766C">
      <w:r w:rsidRPr="009A766C">
        <w:t>Experts are chosen based on:</w:t>
      </w:r>
    </w:p>
    <w:p w14:paraId="36D619A6" w14:textId="77777777" w:rsidR="009A766C" w:rsidRPr="009A766C" w:rsidRDefault="009A766C" w:rsidP="009A766C">
      <w:pPr>
        <w:numPr>
          <w:ilvl w:val="0"/>
          <w:numId w:val="4"/>
        </w:numPr>
      </w:pPr>
      <w:r w:rsidRPr="009A766C">
        <w:t>Domain knowledge</w:t>
      </w:r>
    </w:p>
    <w:p w14:paraId="4EA2B990" w14:textId="77777777" w:rsidR="009A766C" w:rsidRPr="009A766C" w:rsidRDefault="009A766C" w:rsidP="009A766C">
      <w:pPr>
        <w:numPr>
          <w:ilvl w:val="0"/>
          <w:numId w:val="4"/>
        </w:numPr>
      </w:pPr>
      <w:r w:rsidRPr="009A766C">
        <w:t>Practical experience</w:t>
      </w:r>
    </w:p>
    <w:p w14:paraId="53B5B55C" w14:textId="77777777" w:rsidR="009A766C" w:rsidRPr="009A766C" w:rsidRDefault="009A766C" w:rsidP="009A766C">
      <w:pPr>
        <w:numPr>
          <w:ilvl w:val="0"/>
          <w:numId w:val="4"/>
        </w:numPr>
      </w:pPr>
      <w:r w:rsidRPr="009A766C">
        <w:t>Stakeholder representation</w:t>
      </w:r>
      <w:r w:rsidRPr="009A766C">
        <w:br/>
        <w:t xml:space="preserve">Panels typically range from </w:t>
      </w:r>
      <w:r w:rsidRPr="009A766C">
        <w:rPr>
          <w:b/>
          <w:bCs/>
        </w:rPr>
        <w:t>10–40 participants</w:t>
      </w:r>
      <w:r w:rsidRPr="009A766C">
        <w:t>, depending on scope.</w:t>
      </w:r>
    </w:p>
    <w:p w14:paraId="2A10B449" w14:textId="77777777" w:rsidR="009A766C" w:rsidRPr="009A766C" w:rsidRDefault="009A766C" w:rsidP="009A766C">
      <w:r w:rsidRPr="009A766C">
        <w:rPr>
          <w:b/>
          <w:bCs/>
        </w:rPr>
        <w:t>3. Round 1 – Exploration</w:t>
      </w:r>
    </w:p>
    <w:p w14:paraId="5DE1266A" w14:textId="77777777" w:rsidR="009A766C" w:rsidRPr="009A766C" w:rsidRDefault="009A766C" w:rsidP="009A766C">
      <w:pPr>
        <w:numPr>
          <w:ilvl w:val="0"/>
          <w:numId w:val="5"/>
        </w:numPr>
      </w:pPr>
      <w:r w:rsidRPr="009A766C">
        <w:t>Open-ended questions</w:t>
      </w:r>
    </w:p>
    <w:p w14:paraId="218B9ECE" w14:textId="77777777" w:rsidR="009A766C" w:rsidRPr="009A766C" w:rsidRDefault="009A766C" w:rsidP="009A766C">
      <w:pPr>
        <w:numPr>
          <w:ilvl w:val="0"/>
          <w:numId w:val="5"/>
        </w:numPr>
      </w:pPr>
      <w:r w:rsidRPr="009A766C">
        <w:t>Experts provide independent views, assumptions, and arguments</w:t>
      </w:r>
    </w:p>
    <w:p w14:paraId="045806B4" w14:textId="77777777" w:rsidR="009A766C" w:rsidRPr="009A766C" w:rsidRDefault="009A766C" w:rsidP="009A766C">
      <w:pPr>
        <w:numPr>
          <w:ilvl w:val="0"/>
          <w:numId w:val="5"/>
        </w:numPr>
      </w:pPr>
      <w:r w:rsidRPr="009A766C">
        <w:t>Responses are qualitatively analysed and synthesised</w:t>
      </w:r>
    </w:p>
    <w:p w14:paraId="25A8094E" w14:textId="77777777" w:rsidR="009A766C" w:rsidRPr="009A766C" w:rsidRDefault="009A766C" w:rsidP="009A766C">
      <w:r w:rsidRPr="009A766C">
        <w:rPr>
          <w:b/>
          <w:bCs/>
        </w:rPr>
        <w:t>4. Round 2 – Structuring &amp; evaluation</w:t>
      </w:r>
    </w:p>
    <w:p w14:paraId="3A79B33A" w14:textId="77777777" w:rsidR="009A766C" w:rsidRPr="009A766C" w:rsidRDefault="009A766C" w:rsidP="009A766C">
      <w:pPr>
        <w:numPr>
          <w:ilvl w:val="0"/>
          <w:numId w:val="6"/>
        </w:numPr>
      </w:pPr>
      <w:r w:rsidRPr="009A766C">
        <w:t>Statements derived from Round 1 are presented</w:t>
      </w:r>
    </w:p>
    <w:p w14:paraId="69DD9341" w14:textId="77777777" w:rsidR="009A766C" w:rsidRPr="009A766C" w:rsidRDefault="009A766C" w:rsidP="009A766C">
      <w:pPr>
        <w:numPr>
          <w:ilvl w:val="0"/>
          <w:numId w:val="6"/>
        </w:numPr>
      </w:pPr>
      <w:r w:rsidRPr="009A766C">
        <w:t>Experts rate, rank, or comment (e.g. Likert scales)</w:t>
      </w:r>
    </w:p>
    <w:p w14:paraId="746726FC" w14:textId="77777777" w:rsidR="009A766C" w:rsidRPr="009A766C" w:rsidRDefault="009A766C" w:rsidP="009A766C">
      <w:pPr>
        <w:numPr>
          <w:ilvl w:val="0"/>
          <w:numId w:val="6"/>
        </w:numPr>
      </w:pPr>
      <w:r w:rsidRPr="009A766C">
        <w:t>Statistical summaries are generated (median, range, disagreement)</w:t>
      </w:r>
    </w:p>
    <w:p w14:paraId="1E8E0BC5" w14:textId="77777777" w:rsidR="009A766C" w:rsidRPr="009A766C" w:rsidRDefault="009A766C" w:rsidP="009A766C">
      <w:r w:rsidRPr="009A766C">
        <w:rPr>
          <w:b/>
          <w:bCs/>
        </w:rPr>
        <w:t>5. Round 3 (and sometimes 4) – Refinement</w:t>
      </w:r>
    </w:p>
    <w:p w14:paraId="4A6640BC" w14:textId="77777777" w:rsidR="009A766C" w:rsidRPr="009A766C" w:rsidRDefault="009A766C" w:rsidP="009A766C">
      <w:pPr>
        <w:numPr>
          <w:ilvl w:val="0"/>
          <w:numId w:val="7"/>
        </w:numPr>
      </w:pPr>
      <w:r w:rsidRPr="009A766C">
        <w:t>Experts see the aggregated results</w:t>
      </w:r>
    </w:p>
    <w:p w14:paraId="4FCE57AB" w14:textId="77777777" w:rsidR="009A766C" w:rsidRPr="009A766C" w:rsidRDefault="009A766C" w:rsidP="009A766C">
      <w:pPr>
        <w:numPr>
          <w:ilvl w:val="0"/>
          <w:numId w:val="7"/>
        </w:numPr>
      </w:pPr>
      <w:r w:rsidRPr="009A766C">
        <w:t>They may revise their answers or justify outliers</w:t>
      </w:r>
    </w:p>
    <w:p w14:paraId="3A062020" w14:textId="77777777" w:rsidR="009A766C" w:rsidRPr="009A766C" w:rsidRDefault="009A766C" w:rsidP="009A766C">
      <w:pPr>
        <w:numPr>
          <w:ilvl w:val="0"/>
          <w:numId w:val="7"/>
        </w:numPr>
      </w:pPr>
      <w:r w:rsidRPr="009A766C">
        <w:t>Stability or convergence is assessed</w:t>
      </w:r>
    </w:p>
    <w:p w14:paraId="459CECDD" w14:textId="77777777" w:rsidR="009A766C" w:rsidRPr="009A766C" w:rsidRDefault="009A766C" w:rsidP="009A766C">
      <w:r w:rsidRPr="009A766C">
        <w:rPr>
          <w:b/>
          <w:bCs/>
        </w:rPr>
        <w:t>6. Interpretation</w:t>
      </w:r>
    </w:p>
    <w:p w14:paraId="3037B40D" w14:textId="77777777" w:rsidR="009A766C" w:rsidRPr="009A766C" w:rsidRDefault="009A766C" w:rsidP="009A766C">
      <w:r w:rsidRPr="009A766C">
        <w:t>The outcome is not “the truth” but:</w:t>
      </w:r>
    </w:p>
    <w:p w14:paraId="6403216D" w14:textId="77777777" w:rsidR="009A766C" w:rsidRPr="009A766C" w:rsidRDefault="009A766C" w:rsidP="009A766C">
      <w:pPr>
        <w:numPr>
          <w:ilvl w:val="0"/>
          <w:numId w:val="8"/>
        </w:numPr>
      </w:pPr>
      <w:r w:rsidRPr="009A766C">
        <w:t xml:space="preserve">Areas of </w:t>
      </w:r>
      <w:r w:rsidRPr="009A766C">
        <w:rPr>
          <w:b/>
          <w:bCs/>
        </w:rPr>
        <w:t>strong agreement</w:t>
      </w:r>
    </w:p>
    <w:p w14:paraId="6726301B" w14:textId="77777777" w:rsidR="009A766C" w:rsidRPr="009A766C" w:rsidRDefault="009A766C" w:rsidP="009A766C">
      <w:pPr>
        <w:numPr>
          <w:ilvl w:val="0"/>
          <w:numId w:val="8"/>
        </w:numPr>
      </w:pPr>
      <w:r w:rsidRPr="009A766C">
        <w:t xml:space="preserve">Areas of </w:t>
      </w:r>
      <w:r w:rsidRPr="009A766C">
        <w:rPr>
          <w:b/>
          <w:bCs/>
        </w:rPr>
        <w:t>persistent disagreement</w:t>
      </w:r>
    </w:p>
    <w:p w14:paraId="3F107006" w14:textId="77777777" w:rsidR="009A766C" w:rsidRPr="009A766C" w:rsidRDefault="009A766C" w:rsidP="009A766C">
      <w:pPr>
        <w:numPr>
          <w:ilvl w:val="0"/>
          <w:numId w:val="8"/>
        </w:numPr>
      </w:pPr>
      <w:r w:rsidRPr="009A766C">
        <w:rPr>
          <w:b/>
          <w:bCs/>
        </w:rPr>
        <w:t>Rationales</w:t>
      </w:r>
      <w:r w:rsidRPr="009A766C">
        <w:t xml:space="preserve"> behind differing views</w:t>
      </w:r>
    </w:p>
    <w:p w14:paraId="7EE522A7" w14:textId="1EA9570F" w:rsidR="009A766C" w:rsidRDefault="009A766C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766C" w14:paraId="5C5958B9" w14:textId="77777777" w:rsidTr="009A766C">
        <w:tc>
          <w:tcPr>
            <w:tcW w:w="9016" w:type="dxa"/>
          </w:tcPr>
          <w:p w14:paraId="1C15A141" w14:textId="77777777" w:rsidR="009A766C" w:rsidRDefault="009A766C" w:rsidP="009A766C">
            <w:pPr>
              <w:rPr>
                <w:b/>
                <w:bCs/>
              </w:rPr>
            </w:pPr>
            <w:r w:rsidRPr="009A766C">
              <w:rPr>
                <w:b/>
                <w:bCs/>
              </w:rPr>
              <w:lastRenderedPageBreak/>
              <w:t>There is currently no shared, stakeholder-validated understanding of which requirements are essential for Digital Product Passports to be both regulatory-compliant and practically usable across the textile value chain.</w:t>
            </w:r>
          </w:p>
          <w:p w14:paraId="04D80313" w14:textId="77777777" w:rsidR="009A766C" w:rsidRPr="009A766C" w:rsidRDefault="009A766C" w:rsidP="009A766C"/>
          <w:p w14:paraId="428DFE16" w14:textId="4DA9C11C" w:rsidR="009A766C" w:rsidRDefault="009A766C">
            <w:r w:rsidRPr="009A766C">
              <w:t xml:space="preserve">This Delphi study aims to align expert perspectives on compliance-relevant requirements while identifying opportunities to simplify processes, </w:t>
            </w:r>
            <w:proofErr w:type="gramStart"/>
            <w:r w:rsidRPr="009A766C">
              <w:t>in order to</w:t>
            </w:r>
            <w:proofErr w:type="gramEnd"/>
            <w:r w:rsidRPr="009A766C">
              <w:t xml:space="preserve"> inform the development of the M-DPP system (WP2 and WP3).</w:t>
            </w:r>
          </w:p>
        </w:tc>
      </w:tr>
    </w:tbl>
    <w:p w14:paraId="617DA0E1" w14:textId="77777777" w:rsidR="009A766C" w:rsidRDefault="009A766C"/>
    <w:p w14:paraId="6933B068" w14:textId="77777777" w:rsidR="009A766C" w:rsidRPr="009A766C" w:rsidRDefault="009A766C" w:rsidP="009A766C">
      <w:r w:rsidRPr="009A766C">
        <w:rPr>
          <w:b/>
          <w:bCs/>
        </w:rPr>
        <w:t xml:space="preserve">Stakeholders across the textile value chain currently lack a shared understanding of what Digital Product Passports must </w:t>
      </w:r>
      <w:proofErr w:type="gramStart"/>
      <w:r w:rsidRPr="009A766C">
        <w:rPr>
          <w:b/>
          <w:bCs/>
          <w:i/>
          <w:iCs/>
        </w:rPr>
        <w:t>actually</w:t>
      </w:r>
      <w:r w:rsidRPr="009A766C">
        <w:rPr>
          <w:b/>
          <w:bCs/>
        </w:rPr>
        <w:t xml:space="preserve"> require</w:t>
      </w:r>
      <w:proofErr w:type="gramEnd"/>
      <w:r w:rsidRPr="009A766C">
        <w:rPr>
          <w:b/>
          <w:bCs/>
        </w:rPr>
        <w:t xml:space="preserve"> </w:t>
      </w:r>
      <w:proofErr w:type="gramStart"/>
      <w:r w:rsidRPr="009A766C">
        <w:rPr>
          <w:b/>
          <w:bCs/>
        </w:rPr>
        <w:t>in order to</w:t>
      </w:r>
      <w:proofErr w:type="gramEnd"/>
      <w:r w:rsidRPr="009A766C">
        <w:rPr>
          <w:b/>
          <w:bCs/>
        </w:rPr>
        <w:t xml:space="preserve"> be both compliant with emerging EU regulations and workable in everyday practice.</w:t>
      </w:r>
    </w:p>
    <w:p w14:paraId="7F037319" w14:textId="77777777" w:rsidR="009A766C" w:rsidRPr="009A766C" w:rsidRDefault="009A766C" w:rsidP="009A766C">
      <w:r w:rsidRPr="009A766C">
        <w:t xml:space="preserve">While regulatory frameworks such as the Ecodesign for Sustainable Products Regulation define </w:t>
      </w:r>
      <w:r w:rsidRPr="009A766C">
        <w:rPr>
          <w:i/>
          <w:iCs/>
        </w:rPr>
        <w:t>what</w:t>
      </w:r>
      <w:r w:rsidRPr="009A766C">
        <w:t xml:space="preserve"> information must ultimately be available, there is far less clarity on </w:t>
      </w:r>
      <w:r w:rsidRPr="009A766C">
        <w:rPr>
          <w:i/>
          <w:iCs/>
        </w:rPr>
        <w:t>how</w:t>
      </w:r>
      <w:r w:rsidRPr="009A766C">
        <w:t xml:space="preserve"> this information should be generated, verified, connected, and maintained across the product lifecycle—especially in ways that remain accessible to SMEs and do not introduce unnecessary complexity.</w:t>
      </w:r>
    </w:p>
    <w:p w14:paraId="426386CF" w14:textId="77777777" w:rsidR="009A766C" w:rsidRDefault="009A766C" w:rsidP="009A766C">
      <w:r w:rsidRPr="009A766C">
        <w:t>Perspectives differ significantly on acceptable levels of material verification, data granularity, system interoperability, governance, and cost. As a result, DPP development risks becoming overly complex, fragmented, or misaligned with real operational practices.</w:t>
      </w:r>
    </w:p>
    <w:p w14:paraId="53D024B4" w14:textId="77777777" w:rsidR="009A766C" w:rsidRPr="009A766C" w:rsidRDefault="009A766C" w:rsidP="009A766C"/>
    <w:p w14:paraId="7F378F6F" w14:textId="77777777" w:rsidR="009A766C" w:rsidRPr="009A766C" w:rsidRDefault="009A766C" w:rsidP="009A766C">
      <w:r w:rsidRPr="009A766C">
        <w:rPr>
          <w:b/>
          <w:bCs/>
        </w:rPr>
        <w:t>This Delphi study addresses that gap by systematically engaging stakeholders to define and prioritise compliance-relevant requirements, while explicitly identifying opportunities for process simplification.</w:t>
      </w:r>
    </w:p>
    <w:p w14:paraId="1186862B" w14:textId="77777777" w:rsidR="009A766C" w:rsidRPr="009A766C" w:rsidRDefault="009A766C" w:rsidP="009A766C">
      <w:r w:rsidRPr="009A766C">
        <w:t>The goal is to establish a shared, practice-grounded set of requirements that can guide the development of molecular material databases (WP2) and digital infrastructures (WP3).</w:t>
      </w:r>
    </w:p>
    <w:p w14:paraId="795306C0" w14:textId="77777777" w:rsidR="009A766C" w:rsidRDefault="009A766C"/>
    <w:p w14:paraId="3846FAF2" w14:textId="42EC781B" w:rsidR="009A766C" w:rsidRDefault="009A766C">
      <w:r w:rsidRPr="009A766C">
        <w:rPr>
          <w:noProof/>
        </w:rPr>
        <w:drawing>
          <wp:inline distT="0" distB="0" distL="0" distR="0" wp14:anchorId="04C877F5" wp14:editId="5290BD2D">
            <wp:extent cx="5731510" cy="3216910"/>
            <wp:effectExtent l="0" t="0" r="2540" b="2540"/>
            <wp:docPr id="19682783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27833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1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60197" w14:textId="61F92539" w:rsidR="009A766C" w:rsidRDefault="009A766C">
      <w:r w:rsidRPr="009A766C">
        <w:t>Figure 13 – Simplified DPP Model for phase 1</w:t>
      </w:r>
    </w:p>
    <w:p w14:paraId="2E15D94B" w14:textId="77777777" w:rsidR="009A766C" w:rsidRDefault="009A766C">
      <w:r>
        <w:br w:type="page"/>
      </w:r>
    </w:p>
    <w:p w14:paraId="3B666338" w14:textId="72442278" w:rsidR="009A766C" w:rsidRDefault="009A766C">
      <w:r>
        <w:lastRenderedPageBreak/>
        <w:t>Step 2 – Selection of Experts for the questionnaire</w:t>
      </w:r>
    </w:p>
    <w:p w14:paraId="6D0E757B" w14:textId="77777777" w:rsidR="009A766C" w:rsidRDefault="009A766C"/>
    <w:p w14:paraId="3521E663" w14:textId="4783AF5A" w:rsidR="009A766C" w:rsidRDefault="009A766C">
      <w:r>
        <w:t>EPSR Survey</w:t>
      </w:r>
    </w:p>
    <w:p w14:paraId="10AAB6D9" w14:textId="77777777" w:rsidR="009A766C" w:rsidRPr="009A766C" w:rsidRDefault="009A766C" w:rsidP="009A766C">
      <w:r w:rsidRPr="009A766C">
        <w:t>• </w:t>
      </w:r>
      <w:r w:rsidRPr="009A766C">
        <w:rPr>
          <w:b/>
          <w:bCs/>
        </w:rPr>
        <w:t>35%</w:t>
      </w:r>
      <w:r w:rsidRPr="009A766C">
        <w:t> Brands/Retailers (Tier 0)</w:t>
      </w:r>
    </w:p>
    <w:p w14:paraId="00354AC6" w14:textId="77777777" w:rsidR="009A766C" w:rsidRPr="009A766C" w:rsidRDefault="009A766C" w:rsidP="009A766C">
      <w:r w:rsidRPr="009A766C">
        <w:t>• </w:t>
      </w:r>
      <w:r w:rsidRPr="009A766C">
        <w:rPr>
          <w:b/>
          <w:bCs/>
        </w:rPr>
        <w:t>28%</w:t>
      </w:r>
      <w:r w:rsidRPr="009A766C">
        <w:t> Suppliers (Tiers 1–4)</w:t>
      </w:r>
    </w:p>
    <w:p w14:paraId="17823A4A" w14:textId="77777777" w:rsidR="009A766C" w:rsidRPr="009A766C" w:rsidRDefault="009A766C" w:rsidP="009A766C">
      <w:r w:rsidRPr="009A766C">
        <w:t>• </w:t>
      </w:r>
      <w:r w:rsidRPr="009A766C">
        <w:rPr>
          <w:b/>
          <w:bCs/>
        </w:rPr>
        <w:t>12%</w:t>
      </w:r>
      <w:r w:rsidRPr="009A766C">
        <w:t> DPP Tech Experts/Service Providers</w:t>
      </w:r>
    </w:p>
    <w:p w14:paraId="7A02F0BD" w14:textId="77777777" w:rsidR="009A766C" w:rsidRPr="009A766C" w:rsidRDefault="009A766C" w:rsidP="009A766C">
      <w:r w:rsidRPr="009A766C">
        <w:t>• </w:t>
      </w:r>
      <w:r w:rsidRPr="009A766C">
        <w:rPr>
          <w:b/>
          <w:bCs/>
        </w:rPr>
        <w:t>12%</w:t>
      </w:r>
      <w:r w:rsidRPr="009A766C">
        <w:t> NGOs/Associations</w:t>
      </w:r>
    </w:p>
    <w:p w14:paraId="5DDA7248" w14:textId="77777777" w:rsidR="009A766C" w:rsidRPr="009A766C" w:rsidRDefault="009A766C" w:rsidP="009A766C">
      <w:r w:rsidRPr="009A766C">
        <w:t>• </w:t>
      </w:r>
      <w:r w:rsidRPr="009A766C">
        <w:rPr>
          <w:b/>
          <w:bCs/>
        </w:rPr>
        <w:t>7%</w:t>
      </w:r>
      <w:r w:rsidRPr="009A766C">
        <w:t> Recyclers/Sorters</w:t>
      </w:r>
    </w:p>
    <w:p w14:paraId="205F2EAB" w14:textId="77777777" w:rsidR="009A766C" w:rsidRPr="009A766C" w:rsidRDefault="009A766C" w:rsidP="009A766C">
      <w:r w:rsidRPr="009A766C">
        <w:t>• </w:t>
      </w:r>
      <w:r w:rsidRPr="009A766C">
        <w:rPr>
          <w:b/>
          <w:bCs/>
        </w:rPr>
        <w:t>5%</w:t>
      </w:r>
      <w:r w:rsidRPr="009A766C">
        <w:t> Researchers/Academia</w:t>
      </w:r>
    </w:p>
    <w:p w14:paraId="4A16F513" w14:textId="77777777" w:rsidR="009A766C" w:rsidRDefault="009A766C"/>
    <w:p w14:paraId="458A599A" w14:textId="77777777" w:rsidR="009A766C" w:rsidRPr="009A766C" w:rsidRDefault="009A766C" w:rsidP="009A766C">
      <w:r w:rsidRPr="009A766C">
        <w:rPr>
          <w:b/>
          <w:bCs/>
        </w:rPr>
        <w:t>1. The Supply Chain (Producing Industry)</w:t>
      </w:r>
      <w:r w:rsidRPr="009A766C">
        <w:t> </w:t>
      </w:r>
      <w:r w:rsidRPr="009A766C">
        <w:t> </w:t>
      </w:r>
      <w:r w:rsidRPr="009A766C">
        <w:t>63% vs</w:t>
      </w:r>
      <w:r w:rsidRPr="009A766C">
        <w:t> </w:t>
      </w:r>
      <w:r w:rsidRPr="009A766C">
        <w:t>34%</w:t>
      </w:r>
      <w:r w:rsidRPr="009A766C">
        <w:t> </w:t>
      </w:r>
      <w:r w:rsidRPr="009A766C">
        <w:t>&gt;&gt; min. of 50%</w:t>
      </w:r>
    </w:p>
    <w:p w14:paraId="679C3DD6" w14:textId="77777777" w:rsidR="009A766C" w:rsidRPr="009A766C" w:rsidRDefault="009A766C" w:rsidP="009A766C">
      <w:r w:rsidRPr="009A766C">
        <w:rPr>
          <w:b/>
          <w:bCs/>
        </w:rPr>
        <w:t>2. Circularity and End-of-Life Operators</w:t>
      </w:r>
      <w:r w:rsidRPr="009A766C">
        <w:t> </w:t>
      </w:r>
      <w:r w:rsidRPr="009A766C">
        <w:t> </w:t>
      </w:r>
      <w:r w:rsidRPr="009A766C">
        <w:t> </w:t>
      </w:r>
      <w:r w:rsidRPr="009A766C">
        <w:t>7% vs</w:t>
      </w:r>
      <w:r w:rsidRPr="009A766C">
        <w:t> </w:t>
      </w:r>
      <w:r w:rsidRPr="009A766C">
        <w:t>9%</w:t>
      </w:r>
    </w:p>
    <w:p w14:paraId="6FFD3339" w14:textId="77777777" w:rsidR="009A766C" w:rsidRPr="009A766C" w:rsidRDefault="009A766C" w:rsidP="009A766C">
      <w:r w:rsidRPr="009A766C">
        <w:rPr>
          <w:b/>
          <w:bCs/>
        </w:rPr>
        <w:t>3. Technology and Data Enablers</w:t>
      </w:r>
      <w:r w:rsidRPr="009A766C">
        <w:t> </w:t>
      </w:r>
      <w:r w:rsidRPr="009A766C">
        <w:t> </w:t>
      </w:r>
      <w:r w:rsidRPr="009A766C">
        <w:t> </w:t>
      </w:r>
      <w:r w:rsidRPr="009A766C">
        <w:t> </w:t>
      </w:r>
      <w:r w:rsidRPr="009A766C">
        <w:t> </w:t>
      </w:r>
      <w:r w:rsidRPr="009A766C">
        <w:t> </w:t>
      </w:r>
      <w:r w:rsidRPr="009A766C">
        <w:t>12% vs</w:t>
      </w:r>
      <w:r w:rsidRPr="009A766C">
        <w:t> </w:t>
      </w:r>
      <w:r w:rsidRPr="009A766C">
        <w:t>8%</w:t>
      </w:r>
    </w:p>
    <w:p w14:paraId="5FA314E8" w14:textId="77777777" w:rsidR="009A766C" w:rsidRPr="009A766C" w:rsidRDefault="009A766C" w:rsidP="009A766C">
      <w:r w:rsidRPr="009A766C">
        <w:rPr>
          <w:b/>
          <w:bCs/>
        </w:rPr>
        <w:t>4. Governance, Policy, and Civil Society</w:t>
      </w:r>
      <w:r w:rsidRPr="009A766C">
        <w:t> </w:t>
      </w:r>
      <w:r w:rsidRPr="009A766C">
        <w:t> </w:t>
      </w:r>
      <w:r w:rsidRPr="009A766C">
        <w:t> </w:t>
      </w:r>
      <w:r w:rsidRPr="009A766C">
        <w:t>17% vs</w:t>
      </w:r>
      <w:r w:rsidRPr="009A766C">
        <w:t> </w:t>
      </w:r>
      <w:r w:rsidRPr="009A766C">
        <w:t>49%</w:t>
      </w:r>
      <w:r w:rsidRPr="009A766C">
        <w:t> </w:t>
      </w:r>
      <w:r w:rsidRPr="009A766C">
        <w:t>&gt;&gt; lets be more selective in who we will include</w:t>
      </w:r>
    </w:p>
    <w:p w14:paraId="101C32C8" w14:textId="77777777" w:rsidR="009A766C" w:rsidRDefault="009A766C"/>
    <w:p w14:paraId="32393DD8" w14:textId="3D174D93" w:rsidR="009A766C" w:rsidRDefault="009A766C">
      <w:r w:rsidRPr="009A766C">
        <w:rPr>
          <w:noProof/>
        </w:rPr>
        <w:drawing>
          <wp:inline distT="0" distB="0" distL="0" distR="0" wp14:anchorId="4207D73F" wp14:editId="5F2AC68E">
            <wp:extent cx="5731510" cy="2875280"/>
            <wp:effectExtent l="0" t="0" r="2540" b="1270"/>
            <wp:docPr id="6958616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86165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7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E1B220" w14:textId="77777777" w:rsidR="009A766C" w:rsidRDefault="009A766C"/>
    <w:p w14:paraId="5B5BAEBE" w14:textId="77777777" w:rsidR="009A766C" w:rsidRPr="009A766C" w:rsidRDefault="009A766C" w:rsidP="009A766C">
      <w:r w:rsidRPr="009A766C">
        <w:rPr>
          <w:b/>
          <w:bCs/>
        </w:rPr>
        <w:t>1. The Supply Chain (Producing Industry)</w:t>
      </w:r>
    </w:p>
    <w:p w14:paraId="674B8A5C" w14:textId="77777777" w:rsidR="009A766C" w:rsidRPr="009A766C" w:rsidRDefault="009A766C" w:rsidP="009A766C">
      <w:r w:rsidRPr="009A766C">
        <w:t>The documents frequently categorise these stakeholders by "Tiers" to distinguish their role in the production lifecycle. The </w:t>
      </w:r>
      <w:r w:rsidRPr="009A766C">
        <w:rPr>
          <w:b/>
          <w:bCs/>
        </w:rPr>
        <w:t>EPRS study</w:t>
      </w:r>
      <w:r w:rsidRPr="009A766C">
        <w:t> and </w:t>
      </w:r>
      <w:r w:rsidRPr="009A766C">
        <w:rPr>
          <w:b/>
          <w:bCs/>
        </w:rPr>
        <w:t>CIRPASS-2</w:t>
      </w:r>
      <w:r w:rsidRPr="009A766C">
        <w:t> report break them down as follows:</w:t>
      </w:r>
    </w:p>
    <w:p w14:paraId="5807D55F" w14:textId="77777777" w:rsidR="009A766C" w:rsidRPr="009A766C" w:rsidRDefault="009A766C" w:rsidP="009A766C">
      <w:r w:rsidRPr="009A766C">
        <w:t>• </w:t>
      </w:r>
      <w:r w:rsidRPr="009A766C">
        <w:rPr>
          <w:b/>
          <w:bCs/>
        </w:rPr>
        <w:t>Tier 4 (Raw Material Producers):</w:t>
      </w:r>
      <w:r w:rsidRPr="009A766C">
        <w:t> Entities responsible for extraction or farming (e.g., growers, breeders, chemical extractors</w:t>
      </w:r>
      <w:proofErr w:type="gramStart"/>
      <w:r w:rsidRPr="009A766C">
        <w:t>),.</w:t>
      </w:r>
      <w:proofErr w:type="gramEnd"/>
    </w:p>
    <w:p w14:paraId="3F917135" w14:textId="77777777" w:rsidR="009A766C" w:rsidRPr="009A766C" w:rsidRDefault="009A766C" w:rsidP="009A766C">
      <w:r w:rsidRPr="009A766C">
        <w:t>• </w:t>
      </w:r>
      <w:r w:rsidRPr="009A766C">
        <w:rPr>
          <w:b/>
          <w:bCs/>
        </w:rPr>
        <w:t>Tier 2 &amp; 3 (Processors and Component Manufacturers):</w:t>
      </w:r>
      <w:r w:rsidRPr="009A766C">
        <w:t> Factories processing raw materials into intermediate goods (e.g., spinners, weavers, knitters, dyers, tannery operations</w:t>
      </w:r>
      <w:proofErr w:type="gramStart"/>
      <w:r w:rsidRPr="009A766C">
        <w:t>),.</w:t>
      </w:r>
      <w:proofErr w:type="gramEnd"/>
    </w:p>
    <w:p w14:paraId="49B0D3F9" w14:textId="77777777" w:rsidR="009A766C" w:rsidRPr="009A766C" w:rsidRDefault="009A766C" w:rsidP="009A766C">
      <w:r w:rsidRPr="009A766C">
        <w:t>• </w:t>
      </w:r>
      <w:r w:rsidRPr="009A766C">
        <w:rPr>
          <w:b/>
          <w:bCs/>
        </w:rPr>
        <w:t>Tier 1 (Finished Product Manufacturers):</w:t>
      </w:r>
      <w:r w:rsidRPr="009A766C">
        <w:t> Companies that assemble the final product (e.g., garment workshops, furniture assemblers</w:t>
      </w:r>
      <w:proofErr w:type="gramStart"/>
      <w:r w:rsidRPr="009A766C">
        <w:t>),.</w:t>
      </w:r>
      <w:proofErr w:type="gramEnd"/>
    </w:p>
    <w:p w14:paraId="1FC0C981" w14:textId="77777777" w:rsidR="009A766C" w:rsidRPr="009A766C" w:rsidRDefault="009A766C" w:rsidP="009A766C">
      <w:r w:rsidRPr="009A766C">
        <w:t>• </w:t>
      </w:r>
      <w:r w:rsidRPr="009A766C">
        <w:rPr>
          <w:b/>
          <w:bCs/>
        </w:rPr>
        <w:t>Tier 0 (Brands and Retailers):</w:t>
      </w:r>
      <w:r w:rsidRPr="009A766C">
        <w:t xml:space="preserve"> The brands placing products on the market, retailers, and distributors. This group often holds the "DPP role" and </w:t>
      </w:r>
      <w:proofErr w:type="gramStart"/>
      <w:r w:rsidRPr="009A766C">
        <w:t>budget,.</w:t>
      </w:r>
      <w:proofErr w:type="gramEnd"/>
    </w:p>
    <w:p w14:paraId="41FF2FBB" w14:textId="77777777" w:rsidR="009A766C" w:rsidRPr="009A766C" w:rsidRDefault="009A766C" w:rsidP="009A766C">
      <w:r w:rsidRPr="009A766C">
        <w:t>    ◦ </w:t>
      </w:r>
      <w:r w:rsidRPr="009A766C">
        <w:rPr>
          <w:i/>
          <w:iCs/>
        </w:rPr>
        <w:t>Specific Roles to Target:</w:t>
      </w:r>
      <w:r w:rsidRPr="009A766C">
        <w:t xml:space="preserve"> The EPRS survey </w:t>
      </w:r>
      <w:proofErr w:type="gramStart"/>
      <w:r w:rsidRPr="009A766C">
        <w:t>highlights</w:t>
      </w:r>
      <w:proofErr w:type="gramEnd"/>
      <w:r w:rsidRPr="009A766C">
        <w:t xml:space="preserve"> specific job titles to interview within these companies, including </w:t>
      </w:r>
      <w:r w:rsidRPr="009A766C">
        <w:rPr>
          <w:b/>
          <w:bCs/>
        </w:rPr>
        <w:t xml:space="preserve">Heads of Sustainability/Circularity, CEOs, CTOs, CSR Managers, and Quality </w:t>
      </w:r>
      <w:proofErr w:type="gramStart"/>
      <w:r w:rsidRPr="009A766C">
        <w:rPr>
          <w:b/>
          <w:bCs/>
        </w:rPr>
        <w:t>Experts</w:t>
      </w:r>
      <w:r w:rsidRPr="009A766C">
        <w:t>,.</w:t>
      </w:r>
      <w:proofErr w:type="gramEnd"/>
    </w:p>
    <w:p w14:paraId="75D6F8EA" w14:textId="77777777" w:rsidR="009A766C" w:rsidRPr="009A766C" w:rsidRDefault="009A766C" w:rsidP="009A766C">
      <w:r w:rsidRPr="009A766C">
        <w:rPr>
          <w:b/>
          <w:bCs/>
        </w:rPr>
        <w:t>Note on Sectors:</w:t>
      </w:r>
      <w:r w:rsidRPr="009A766C">
        <w:t> While the EPRS document focuses on </w:t>
      </w:r>
      <w:r w:rsidRPr="009A766C">
        <w:rPr>
          <w:b/>
          <w:bCs/>
        </w:rPr>
        <w:t>textiles</w:t>
      </w:r>
      <w:r w:rsidRPr="009A766C">
        <w:t>, the CIRPASS-2 survey (EWG5) explicitly included "Other Industries" such as </w:t>
      </w:r>
      <w:r w:rsidRPr="009A766C">
        <w:rPr>
          <w:b/>
          <w:bCs/>
        </w:rPr>
        <w:t>electronics, batteries, construction, chemicals, furniture, and steel/</w:t>
      </w:r>
      <w:proofErr w:type="gramStart"/>
      <w:r w:rsidRPr="009A766C">
        <w:rPr>
          <w:b/>
          <w:bCs/>
        </w:rPr>
        <w:t>mining</w:t>
      </w:r>
      <w:r w:rsidRPr="009A766C">
        <w:t>,.</w:t>
      </w:r>
      <w:proofErr w:type="gramEnd"/>
    </w:p>
    <w:p w14:paraId="28296D81" w14:textId="77777777" w:rsidR="009A766C" w:rsidRDefault="009A766C"/>
    <w:p w14:paraId="02A0CE49" w14:textId="77777777" w:rsidR="009A766C" w:rsidRPr="009A766C" w:rsidRDefault="009A766C" w:rsidP="009A766C">
      <w:r w:rsidRPr="009A766C">
        <w:rPr>
          <w:b/>
          <w:bCs/>
        </w:rPr>
        <w:t>2. Circularity and End-of-Life Operators</w:t>
      </w:r>
    </w:p>
    <w:p w14:paraId="6E1666A9" w14:textId="77777777" w:rsidR="009A766C" w:rsidRPr="009A766C" w:rsidRDefault="009A766C" w:rsidP="009A766C">
      <w:r w:rsidRPr="009A766C">
        <w:t>To address the 2027 regulations regarding "recyclability" and "recycled content," the sources interviewed actors who manage the product after its primary use:</w:t>
      </w:r>
    </w:p>
    <w:p w14:paraId="6C6D5EAD" w14:textId="77777777" w:rsidR="009A766C" w:rsidRPr="009A766C" w:rsidRDefault="009A766C" w:rsidP="009A766C">
      <w:r w:rsidRPr="009A766C">
        <w:t>• </w:t>
      </w:r>
      <w:r w:rsidRPr="009A766C">
        <w:rPr>
          <w:b/>
          <w:bCs/>
        </w:rPr>
        <w:t>Collection and Sorting Companies:</w:t>
      </w:r>
      <w:r w:rsidRPr="009A766C">
        <w:t xml:space="preserve"> Operators responsible for gathering used products and sorting them for reuse or </w:t>
      </w:r>
      <w:proofErr w:type="gramStart"/>
      <w:r w:rsidRPr="009A766C">
        <w:t>recycling,.</w:t>
      </w:r>
      <w:proofErr w:type="gramEnd"/>
    </w:p>
    <w:p w14:paraId="3AD5F860" w14:textId="77777777" w:rsidR="009A766C" w:rsidRPr="009A766C" w:rsidRDefault="009A766C" w:rsidP="009A766C">
      <w:r w:rsidRPr="009A766C">
        <w:lastRenderedPageBreak/>
        <w:t>• </w:t>
      </w:r>
      <w:r w:rsidRPr="009A766C">
        <w:rPr>
          <w:b/>
          <w:bCs/>
        </w:rPr>
        <w:t>Recyclers:</w:t>
      </w:r>
      <w:r w:rsidRPr="009A766C">
        <w:t xml:space="preserve"> Companies processing waste into new </w:t>
      </w:r>
      <w:proofErr w:type="gramStart"/>
      <w:r w:rsidRPr="009A766C">
        <w:t>materials,.</w:t>
      </w:r>
      <w:proofErr w:type="gramEnd"/>
    </w:p>
    <w:p w14:paraId="3DA65983" w14:textId="77777777" w:rsidR="009A766C" w:rsidRPr="009A766C" w:rsidRDefault="009A766C" w:rsidP="009A766C">
      <w:r w:rsidRPr="009A766C">
        <w:t>• </w:t>
      </w:r>
      <w:r w:rsidRPr="009A766C">
        <w:rPr>
          <w:b/>
          <w:bCs/>
        </w:rPr>
        <w:t>Repair and Maintenance Services:</w:t>
      </w:r>
      <w:r w:rsidRPr="009A766C">
        <w:t> Entities extending product life (e.g., repair shops, cleaning services</w:t>
      </w:r>
      <w:proofErr w:type="gramStart"/>
      <w:r w:rsidRPr="009A766C">
        <w:t>),.</w:t>
      </w:r>
      <w:proofErr w:type="gramEnd"/>
    </w:p>
    <w:p w14:paraId="31C4B9E0" w14:textId="77777777" w:rsidR="009A766C" w:rsidRPr="009A766C" w:rsidRDefault="009A766C" w:rsidP="009A766C">
      <w:r w:rsidRPr="009A766C">
        <w:t>• </w:t>
      </w:r>
      <w:r w:rsidRPr="009A766C">
        <w:rPr>
          <w:b/>
          <w:bCs/>
        </w:rPr>
        <w:t>Second-hand / Reuse Platforms:</w:t>
      </w:r>
      <w:r w:rsidRPr="009A766C">
        <w:t> Distributors focused on resale and rental models.</w:t>
      </w:r>
    </w:p>
    <w:p w14:paraId="35715903" w14:textId="77777777" w:rsidR="009A766C" w:rsidRDefault="009A766C"/>
    <w:p w14:paraId="3FF3FF23" w14:textId="77777777" w:rsidR="009A766C" w:rsidRPr="009A766C" w:rsidRDefault="009A766C" w:rsidP="009A766C">
      <w:r w:rsidRPr="009A766C">
        <w:rPr>
          <w:b/>
          <w:bCs/>
        </w:rPr>
        <w:t>3. Technology and Data Enablers</w:t>
      </w:r>
    </w:p>
    <w:p w14:paraId="0E8FBA6F" w14:textId="77777777" w:rsidR="009A766C" w:rsidRPr="009A766C" w:rsidRDefault="009A766C" w:rsidP="009A766C">
      <w:r w:rsidRPr="009A766C">
        <w:t>These stakeholders are critical for the "how" of the DPP (interoperability and data carriers). The </w:t>
      </w:r>
      <w:r w:rsidRPr="009A766C">
        <w:rPr>
          <w:b/>
          <w:bCs/>
        </w:rPr>
        <w:t>CIRPASS-2</w:t>
      </w:r>
      <w:r w:rsidRPr="009A766C">
        <w:t> report classifies these as "</w:t>
      </w:r>
      <w:proofErr w:type="gramStart"/>
      <w:r w:rsidRPr="009A766C">
        <w:t>Non-producing</w:t>
      </w:r>
      <w:proofErr w:type="gramEnd"/>
      <w:r w:rsidRPr="009A766C">
        <w:t xml:space="preserve"> industry participants":</w:t>
      </w:r>
    </w:p>
    <w:p w14:paraId="3AEFEA33" w14:textId="77777777" w:rsidR="009A766C" w:rsidRPr="009A766C" w:rsidRDefault="009A766C" w:rsidP="009A766C">
      <w:r w:rsidRPr="009A766C">
        <w:t>• </w:t>
      </w:r>
      <w:r w:rsidRPr="009A766C">
        <w:rPr>
          <w:b/>
          <w:bCs/>
        </w:rPr>
        <w:t>DPP Service Providers &amp; Tech Companies:</w:t>
      </w:r>
      <w:r w:rsidRPr="009A766C">
        <w:t xml:space="preserve"> Firms providing the software, identifiers (QR/RFID), and platforms for the </w:t>
      </w:r>
      <w:proofErr w:type="gramStart"/>
      <w:r w:rsidRPr="009A766C">
        <w:t>passport,.</w:t>
      </w:r>
      <w:proofErr w:type="gramEnd"/>
    </w:p>
    <w:p w14:paraId="20F87102" w14:textId="77777777" w:rsidR="009A766C" w:rsidRPr="009A766C" w:rsidRDefault="009A766C" w:rsidP="009A766C">
      <w:r w:rsidRPr="009A766C">
        <w:t>• </w:t>
      </w:r>
      <w:r w:rsidRPr="009A766C">
        <w:rPr>
          <w:b/>
          <w:bCs/>
        </w:rPr>
        <w:t>Consultants:</w:t>
      </w:r>
      <w:r w:rsidRPr="009A766C">
        <w:t> Experts advising on sustainability strategies and compliance.</w:t>
      </w:r>
    </w:p>
    <w:p w14:paraId="76142254" w14:textId="77777777" w:rsidR="009A766C" w:rsidRPr="009A766C" w:rsidRDefault="009A766C" w:rsidP="009A766C">
      <w:r w:rsidRPr="009A766C">
        <w:t>• </w:t>
      </w:r>
      <w:r w:rsidRPr="009A766C">
        <w:rPr>
          <w:b/>
          <w:bCs/>
        </w:rPr>
        <w:t>Certification and Assessment Bodies:</w:t>
      </w:r>
      <w:r w:rsidRPr="009A766C">
        <w:t xml:space="preserve"> Third-party auditors responsible for verifying claims (e.g., </w:t>
      </w:r>
      <w:proofErr w:type="spellStart"/>
      <w:r w:rsidRPr="009A766C">
        <w:t>Oeko-tex</w:t>
      </w:r>
      <w:proofErr w:type="spellEnd"/>
      <w:r w:rsidRPr="009A766C">
        <w:t>, chemical compliance</w:t>
      </w:r>
      <w:proofErr w:type="gramStart"/>
      <w:r w:rsidRPr="009A766C">
        <w:t>),.</w:t>
      </w:r>
      <w:proofErr w:type="gramEnd"/>
    </w:p>
    <w:p w14:paraId="290A818A" w14:textId="77777777" w:rsidR="009A766C" w:rsidRDefault="009A766C"/>
    <w:p w14:paraId="34A55B9C" w14:textId="77777777" w:rsidR="009A766C" w:rsidRPr="009A766C" w:rsidRDefault="009A766C" w:rsidP="009A766C">
      <w:r w:rsidRPr="009A766C">
        <w:rPr>
          <w:b/>
          <w:bCs/>
        </w:rPr>
        <w:t>4. Governance, Policy, and Civil Society</w:t>
      </w:r>
    </w:p>
    <w:p w14:paraId="46B8477D" w14:textId="77777777" w:rsidR="009A766C" w:rsidRPr="009A766C" w:rsidRDefault="009A766C" w:rsidP="009A766C">
      <w:r w:rsidRPr="009A766C">
        <w:t>To ensure your questionnaire covers regulatory compliance and public interest, consider including:</w:t>
      </w:r>
    </w:p>
    <w:p w14:paraId="269B5BC1" w14:textId="77777777" w:rsidR="009A766C" w:rsidRPr="009A766C" w:rsidRDefault="009A766C" w:rsidP="009A766C">
      <w:r w:rsidRPr="009A766C">
        <w:t>• </w:t>
      </w:r>
      <w:r w:rsidRPr="009A766C">
        <w:rPr>
          <w:b/>
          <w:bCs/>
        </w:rPr>
        <w:t>Public Authorities:</w:t>
      </w:r>
      <w:r w:rsidRPr="009A766C">
        <w:t xml:space="preserve"> Customs officials, policy makers, and market surveillance </w:t>
      </w:r>
      <w:proofErr w:type="gramStart"/>
      <w:r w:rsidRPr="009A766C">
        <w:t>authorities,.</w:t>
      </w:r>
      <w:proofErr w:type="gramEnd"/>
    </w:p>
    <w:p w14:paraId="311BD0AF" w14:textId="77777777" w:rsidR="009A766C" w:rsidRPr="009A766C" w:rsidRDefault="009A766C" w:rsidP="009A766C">
      <w:r w:rsidRPr="009A766C">
        <w:t>• </w:t>
      </w:r>
      <w:r w:rsidRPr="009A766C">
        <w:rPr>
          <w:b/>
          <w:bCs/>
        </w:rPr>
        <w:t>NGOs and Industry Associations:</w:t>
      </w:r>
      <w:r w:rsidRPr="009A766C">
        <w:t> Groups representing civil society or specific industrial interests.</w:t>
      </w:r>
    </w:p>
    <w:p w14:paraId="13218DB0" w14:textId="77777777" w:rsidR="009A766C" w:rsidRPr="009A766C" w:rsidRDefault="009A766C" w:rsidP="009A766C">
      <w:r w:rsidRPr="009A766C">
        <w:t>• </w:t>
      </w:r>
      <w:r w:rsidRPr="009A766C">
        <w:rPr>
          <w:b/>
          <w:bCs/>
        </w:rPr>
        <w:t>Researchers and Academics:</w:t>
      </w:r>
      <w:r w:rsidRPr="009A766C">
        <w:t xml:space="preserve"> Those studying the theoretical and impact aspects of </w:t>
      </w:r>
      <w:proofErr w:type="gramStart"/>
      <w:r w:rsidRPr="009A766C">
        <w:t>DPPs,.</w:t>
      </w:r>
      <w:proofErr w:type="gramEnd"/>
    </w:p>
    <w:p w14:paraId="094550B0" w14:textId="77777777" w:rsidR="009A766C" w:rsidRPr="009A766C" w:rsidRDefault="009A766C" w:rsidP="009A766C">
      <w:r w:rsidRPr="009A766C">
        <w:t>• </w:t>
      </w:r>
      <w:r w:rsidRPr="009A766C">
        <w:rPr>
          <w:b/>
          <w:bCs/>
        </w:rPr>
        <w:t>Consumers (or Consumer Organizations):</w:t>
      </w:r>
      <w:r w:rsidRPr="009A766C">
        <w:t> To gauge public understanding of transparency and the "willingness to scan</w:t>
      </w:r>
      <w:proofErr w:type="gramStart"/>
      <w:r w:rsidRPr="009A766C">
        <w:t>",.</w:t>
      </w:r>
      <w:proofErr w:type="gramEnd"/>
    </w:p>
    <w:p w14:paraId="0AF9741A" w14:textId="77777777" w:rsidR="009A766C" w:rsidRPr="009A766C" w:rsidRDefault="009A766C"/>
    <w:sectPr w:rsidR="009A766C" w:rsidRPr="009A766C" w:rsidSect="006A7D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rEavesModOTHeavy">
    <w:panose1 w:val="020B0903060502020202"/>
    <w:charset w:val="00"/>
    <w:family w:val="swiss"/>
    <w:notTrueType/>
    <w:pitch w:val="variable"/>
    <w:sig w:usb0="00000003" w:usb1="00000001" w:usb2="00000000" w:usb3="00000000" w:csb0="00000001" w:csb1="00000000"/>
  </w:font>
  <w:font w:name="MrEavesModOT">
    <w:panose1 w:val="020B0603060502020202"/>
    <w:charset w:val="00"/>
    <w:family w:val="swiss"/>
    <w:notTrueType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D34BB"/>
    <w:multiLevelType w:val="multilevel"/>
    <w:tmpl w:val="70A63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A163D5"/>
    <w:multiLevelType w:val="hybridMultilevel"/>
    <w:tmpl w:val="A9EE8C66"/>
    <w:lvl w:ilvl="0" w:tplc="BDE6A698">
      <w:start w:val="1"/>
      <w:numFmt w:val="bullet"/>
      <w:pStyle w:val="KLcaptionital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28E5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E7828"/>
    <w:multiLevelType w:val="multilevel"/>
    <w:tmpl w:val="F6A6C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4620C1"/>
    <w:multiLevelType w:val="multilevel"/>
    <w:tmpl w:val="8CE0D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9846FE"/>
    <w:multiLevelType w:val="multilevel"/>
    <w:tmpl w:val="765E5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1C03D6"/>
    <w:multiLevelType w:val="multilevel"/>
    <w:tmpl w:val="CA406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A525BC"/>
    <w:multiLevelType w:val="multilevel"/>
    <w:tmpl w:val="B9EAD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D35C40"/>
    <w:multiLevelType w:val="multilevel"/>
    <w:tmpl w:val="B4AE2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0722939">
    <w:abstractNumId w:val="1"/>
  </w:num>
  <w:num w:numId="2" w16cid:durableId="1288849352">
    <w:abstractNumId w:val="3"/>
  </w:num>
  <w:num w:numId="3" w16cid:durableId="215895299">
    <w:abstractNumId w:val="4"/>
  </w:num>
  <w:num w:numId="4" w16cid:durableId="1862888069">
    <w:abstractNumId w:val="7"/>
  </w:num>
  <w:num w:numId="5" w16cid:durableId="1143043541">
    <w:abstractNumId w:val="2"/>
  </w:num>
  <w:num w:numId="6" w16cid:durableId="197354063">
    <w:abstractNumId w:val="6"/>
  </w:num>
  <w:num w:numId="7" w16cid:durableId="304969414">
    <w:abstractNumId w:val="0"/>
  </w:num>
  <w:num w:numId="8" w16cid:durableId="2535903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66C"/>
    <w:rsid w:val="00370736"/>
    <w:rsid w:val="00573DDD"/>
    <w:rsid w:val="00590BDF"/>
    <w:rsid w:val="00664B46"/>
    <w:rsid w:val="006A7D86"/>
    <w:rsid w:val="008B14FC"/>
    <w:rsid w:val="009679DE"/>
    <w:rsid w:val="009A766C"/>
    <w:rsid w:val="00B40EF3"/>
    <w:rsid w:val="00B54FA0"/>
    <w:rsid w:val="00D54C58"/>
    <w:rsid w:val="00D92627"/>
    <w:rsid w:val="00DD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F03C41"/>
  <w15:chartTrackingRefBased/>
  <w15:docId w15:val="{C7EE5360-2062-4A9D-9717-E4E3645FF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lang w:val="en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FA0"/>
  </w:style>
  <w:style w:type="paragraph" w:styleId="Heading1">
    <w:name w:val="heading 1"/>
    <w:basedOn w:val="Normal"/>
    <w:next w:val="Normal"/>
    <w:link w:val="Heading1Char"/>
    <w:uiPriority w:val="9"/>
    <w:qFormat/>
    <w:rsid w:val="009A76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76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766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766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766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766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766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766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766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LKop1">
    <w:name w:val="KL Kop 1"/>
    <w:basedOn w:val="Normal"/>
    <w:next w:val="Normal"/>
    <w:autoRedefine/>
    <w:qFormat/>
    <w:rsid w:val="00D92627"/>
    <w:pPr>
      <w:contextualSpacing/>
    </w:pPr>
    <w:rPr>
      <w:rFonts w:ascii="MrEavesModOTHeavy" w:hAnsi="MrEavesModOTHeavy"/>
      <w:caps/>
      <w:spacing w:val="60"/>
      <w:sz w:val="48"/>
    </w:rPr>
  </w:style>
  <w:style w:type="paragraph" w:customStyle="1" w:styleId="KLnadruk">
    <w:name w:val="KL nadruk"/>
    <w:basedOn w:val="Normal"/>
    <w:next w:val="Normal"/>
    <w:autoRedefine/>
    <w:qFormat/>
    <w:rsid w:val="00D92627"/>
    <w:pPr>
      <w:contextualSpacing/>
    </w:pPr>
    <w:rPr>
      <w:rFonts w:ascii="MrEavesModOT" w:hAnsi="MrEavesModOT"/>
      <w:b/>
      <w:sz w:val="28"/>
    </w:rPr>
  </w:style>
  <w:style w:type="paragraph" w:customStyle="1" w:styleId="KLStandaard">
    <w:name w:val="KL Standaard"/>
    <w:autoRedefine/>
    <w:qFormat/>
    <w:rsid w:val="00D92627"/>
    <w:pPr>
      <w:contextualSpacing/>
    </w:pPr>
    <w:rPr>
      <w:rFonts w:ascii="MrEavesModOT" w:hAnsi="MrEavesModOT"/>
    </w:rPr>
  </w:style>
  <w:style w:type="character" w:customStyle="1" w:styleId="KLcaptionitalicnadruk">
    <w:name w:val="KL caption italic nadruk"/>
    <w:basedOn w:val="DefaultParagraphFont"/>
    <w:uiPriority w:val="1"/>
    <w:qFormat/>
    <w:rsid w:val="00D92627"/>
    <w:rPr>
      <w:b/>
      <w:bCs/>
      <w:i/>
    </w:rPr>
  </w:style>
  <w:style w:type="paragraph" w:customStyle="1" w:styleId="KLcaptionitalic">
    <w:name w:val="KL caption italic"/>
    <w:basedOn w:val="KLStandaard"/>
    <w:autoRedefine/>
    <w:qFormat/>
    <w:rsid w:val="00D92627"/>
    <w:pPr>
      <w:numPr>
        <w:numId w:val="1"/>
      </w:numPr>
    </w:pPr>
    <w:rPr>
      <w:i/>
      <w:color w:val="767171" w:themeColor="background2" w:themeShade="80"/>
    </w:rPr>
  </w:style>
  <w:style w:type="character" w:customStyle="1" w:styleId="Heading1Char">
    <w:name w:val="Heading 1 Char"/>
    <w:basedOn w:val="DefaultParagraphFont"/>
    <w:link w:val="Heading1"/>
    <w:uiPriority w:val="9"/>
    <w:rsid w:val="009A76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76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766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766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766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766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766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766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766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76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7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766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766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76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76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76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76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76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76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766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A7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f4970c-43ff-4be9-b338-22800fa8aacd">
      <Terms xmlns="http://schemas.microsoft.com/office/infopath/2007/PartnerControls"/>
    </lcf76f155ced4ddcb4097134ff3c332f>
    <TaxCatchAll xmlns="c78a00b1-7abf-47bd-b148-76066e1c00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64B497AD24CD42829E93357CAA6966" ma:contentTypeVersion="12" ma:contentTypeDescription="Een nieuw document maken." ma:contentTypeScope="" ma:versionID="cb0fe99db4eaca7ceefbc59582ab60d3">
  <xsd:schema xmlns:xsd="http://www.w3.org/2001/XMLSchema" xmlns:xs="http://www.w3.org/2001/XMLSchema" xmlns:p="http://schemas.microsoft.com/office/2006/metadata/properties" xmlns:ns2="54f4970c-43ff-4be9-b338-22800fa8aacd" xmlns:ns3="c78a00b1-7abf-47bd-b148-76066e1c00cc" targetNamespace="http://schemas.microsoft.com/office/2006/metadata/properties" ma:root="true" ma:fieldsID="cdbce8f87d23be8f904efbe5000c25fa" ns2:_="" ns3:_="">
    <xsd:import namespace="54f4970c-43ff-4be9-b338-22800fa8aacd"/>
    <xsd:import namespace="c78a00b1-7abf-47bd-b148-76066e1c0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4970c-43ff-4be9-b338-22800fa8aa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32d39682-ccf7-48d8-962f-2ca2d3d56b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a00b1-7abf-47bd-b148-76066e1c00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c59b752-c7a7-453a-b76f-21f5fa244d68}" ma:internalName="TaxCatchAll" ma:showField="CatchAllData" ma:web="c78a00b1-7abf-47bd-b148-76066e1c0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0E260C-C7F6-4B89-A33A-E0CF974AD585}">
  <ds:schemaRefs>
    <ds:schemaRef ds:uri="http://schemas.microsoft.com/office/2006/metadata/properties"/>
    <ds:schemaRef ds:uri="http://schemas.microsoft.com/office/infopath/2007/PartnerControls"/>
    <ds:schemaRef ds:uri="54f4970c-43ff-4be9-b338-22800fa8aacd"/>
    <ds:schemaRef ds:uri="c78a00b1-7abf-47bd-b148-76066e1c00cc"/>
  </ds:schemaRefs>
</ds:datastoreItem>
</file>

<file path=customXml/itemProps2.xml><?xml version="1.0" encoding="utf-8"?>
<ds:datastoreItem xmlns:ds="http://schemas.openxmlformats.org/officeDocument/2006/customXml" ds:itemID="{30A49733-2A77-4709-8323-B949B89620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3621EA-010D-4353-8EED-B8D286B85A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f4970c-43ff-4be9-b338-22800fa8aacd"/>
    <ds:schemaRef ds:uri="c78a00b1-7abf-47bd-b148-76066e1c0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928</Words>
  <Characters>6061</Characters>
  <Application>Microsoft Office Word</Application>
  <DocSecurity>0</DocSecurity>
  <Lines>137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Lyske de Bildt</dc:creator>
  <cp:keywords/>
  <dc:description/>
  <cp:lastModifiedBy>Lyske de Bildt</cp:lastModifiedBy>
  <cp:revision>2</cp:revision>
  <dcterms:created xsi:type="dcterms:W3CDTF">2026-03-17T12:31:00Z</dcterms:created>
  <dcterms:modified xsi:type="dcterms:W3CDTF">2026-03-17T14:15:00Z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0x0101003864B497AD24CD42829E93357CAA6966</vt:lpwstr>
  </property>
  <property fmtid="{D5CDD505-2E9C-101B-9397-08002B2CF9AE}" pid="3" name="MediaServiceImageTags">
    <vt:lpwstr/>
  </property>
</Properties>
</file>