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6114" w14:textId="77777777" w:rsidR="000D4733" w:rsidRDefault="005A6CD1">
      <w:pPr>
        <w:spacing w:after="120"/>
      </w:pPr>
      <w:r>
        <w:rPr>
          <w:color w:val="5F5E5A"/>
        </w:rPr>
        <w:t>M-DPP Project</w:t>
      </w:r>
    </w:p>
    <w:p w14:paraId="5D25F031" w14:textId="77777777" w:rsidR="000D4733" w:rsidRDefault="005A6CD1">
      <w:pPr>
        <w:spacing w:after="80"/>
      </w:pPr>
      <w:r>
        <w:rPr>
          <w:b/>
          <w:bCs/>
          <w:color w:val="1A1A1A"/>
          <w:sz w:val="40"/>
          <w:szCs w:val="40"/>
        </w:rPr>
        <w:t>Delphi Stakeholder Consultation</w:t>
      </w:r>
    </w:p>
    <w:p w14:paraId="137C5CEC" w14:textId="77777777" w:rsidR="000D4733" w:rsidRDefault="005A6CD1">
      <w:pPr>
        <w:spacing w:after="200"/>
      </w:pPr>
      <w:r>
        <w:rPr>
          <w:color w:val="185FA5"/>
          <w:sz w:val="28"/>
          <w:szCs w:val="28"/>
        </w:rPr>
        <w:t>Round 2 - Results &amp; Analysis</w:t>
      </w:r>
    </w:p>
    <w:p w14:paraId="25058A66" w14:textId="77777777" w:rsidR="000D4733" w:rsidRDefault="000D4733">
      <w:pPr>
        <w:pBdr>
          <w:bottom w:val="single" w:sz="4" w:space="1" w:color="D3D1C7"/>
        </w:pBdr>
        <w:spacing w:before="80" w:after="80"/>
      </w:pPr>
    </w:p>
    <w:p w14:paraId="609B3B87" w14:textId="77777777" w:rsidR="000D4733" w:rsidRDefault="005A6CD1">
      <w:pPr>
        <w:spacing w:before="120" w:after="60"/>
      </w:pPr>
      <w:r>
        <w:rPr>
          <w:color w:val="5F5E5A"/>
          <w:sz w:val="18"/>
          <w:szCs w:val="18"/>
        </w:rPr>
        <w:t>Work Package 1 - Stakeholder Engagement &amp; Compliance Requirements</w:t>
      </w:r>
    </w:p>
    <w:p w14:paraId="3E478708" w14:textId="77777777" w:rsidR="000D4733" w:rsidRDefault="005A6CD1">
      <w:pPr>
        <w:spacing w:after="60"/>
      </w:pPr>
      <w:r>
        <w:rPr>
          <w:color w:val="5F5E5A"/>
          <w:sz w:val="18"/>
          <w:szCs w:val="18"/>
        </w:rPr>
        <w:t>Fashion Research &amp; Technology - Amsterdam University of Applied Sciences (</w:t>
      </w:r>
      <w:proofErr w:type="spellStart"/>
      <w:r>
        <w:rPr>
          <w:color w:val="5F5E5A"/>
          <w:sz w:val="18"/>
          <w:szCs w:val="18"/>
        </w:rPr>
        <w:t>HvA</w:t>
      </w:r>
      <w:proofErr w:type="spellEnd"/>
      <w:r>
        <w:rPr>
          <w:color w:val="5F5E5A"/>
          <w:sz w:val="18"/>
          <w:szCs w:val="18"/>
        </w:rPr>
        <w:t>)</w:t>
      </w:r>
    </w:p>
    <w:p w14:paraId="59140157" w14:textId="77777777" w:rsidR="000D4733" w:rsidRDefault="005A6CD1">
      <w:pPr>
        <w:spacing w:after="400"/>
      </w:pPr>
      <w:r>
        <w:rPr>
          <w:color w:val="B4B2A9"/>
          <w:sz w:val="18"/>
          <w:szCs w:val="18"/>
        </w:rPr>
        <w:t>2026</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42668788" w14:textId="77777777">
        <w:tblPrEx>
          <w:tblCellMar>
            <w:top w:w="0" w:type="dxa"/>
            <w:bottom w:w="0" w:type="dxa"/>
          </w:tblCellMar>
        </w:tblPrEx>
        <w:tc>
          <w:tcPr>
            <w:tcW w:w="9906" w:type="dxa"/>
            <w:tcBorders>
              <w:top w:val="single" w:sz="1" w:space="0" w:color="F1EFE8"/>
              <w:left w:val="thick" w:sz="12" w:space="0" w:color="5F5E5A"/>
              <w:bottom w:val="single" w:sz="1" w:space="0" w:color="F1EFE8"/>
              <w:right w:val="single" w:sz="1" w:space="0" w:color="F1EFE8"/>
            </w:tcBorders>
            <w:shd w:val="clear" w:color="auto" w:fill="F1EFE8"/>
            <w:tcMar>
              <w:top w:w="100" w:type="dxa"/>
              <w:left w:w="160" w:type="dxa"/>
              <w:bottom w:w="100" w:type="dxa"/>
              <w:right w:w="120" w:type="dxa"/>
            </w:tcMar>
          </w:tcPr>
          <w:p w14:paraId="6F8452B9" w14:textId="77777777" w:rsidR="000D4733" w:rsidRDefault="005A6CD1">
            <w:r>
              <w:rPr>
                <w:color w:val="1A1A1A"/>
                <w:sz w:val="17"/>
                <w:szCs w:val="17"/>
              </w:rPr>
              <w:t>Structural caveat: N=11. Technology &amp; Data and Circularity &amp; End-of-Life are each represented by 2 respondents; Policy, Research &amp; Civil Society by 1. Results for these groups are indicative only. The panel skews toward smaller actors - no large brand or multinational manufacturer is represented.</w:t>
            </w:r>
          </w:p>
        </w:tc>
      </w:tr>
    </w:tbl>
    <w:p w14:paraId="726A3DB3" w14:textId="77777777" w:rsidR="000D4733" w:rsidRDefault="000D4733">
      <w:pPr>
        <w:spacing w:line="200" w:lineRule="auto"/>
      </w:pPr>
    </w:p>
    <w:p w14:paraId="70CDFF4D" w14:textId="77777777" w:rsidR="000D4733" w:rsidRDefault="005A6CD1">
      <w:pPr>
        <w:pBdr>
          <w:bottom w:val="single" w:sz="6" w:space="4" w:color="185FA5"/>
        </w:pBdr>
        <w:spacing w:before="360" w:after="120"/>
      </w:pPr>
      <w:r>
        <w:rPr>
          <w:b/>
          <w:bCs/>
          <w:color w:val="185FA5"/>
          <w:sz w:val="16"/>
          <w:szCs w:val="16"/>
        </w:rPr>
        <w:t>PANEL OVERVIEW</w:t>
      </w:r>
    </w:p>
    <w:p w14:paraId="29C80FCE" w14:textId="77777777" w:rsidR="000D4733" w:rsidRDefault="005A6CD1">
      <w:pPr>
        <w:spacing w:before="80" w:after="120"/>
      </w:pPr>
      <w:r>
        <w:rPr>
          <w:color w:val="1A1A1A"/>
          <w:sz w:val="18"/>
          <w:szCs w:val="18"/>
        </w:rPr>
        <w:t xml:space="preserve">Round 2 received 11 responses across four stakeholder groups. All respondents represent small </w:t>
      </w:r>
      <w:proofErr w:type="spellStart"/>
      <w:r>
        <w:rPr>
          <w:color w:val="1A1A1A"/>
          <w:sz w:val="18"/>
          <w:szCs w:val="18"/>
        </w:rPr>
        <w:t>organisations</w:t>
      </w:r>
      <w:proofErr w:type="spellEnd"/>
      <w:r>
        <w:rPr>
          <w:color w:val="1A1A1A"/>
          <w:sz w:val="18"/>
          <w:szCs w:val="18"/>
        </w:rPr>
        <w:t>: 8 of 11 have fewer than 50 staff.</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6"/>
        <w:gridCol w:w="2476"/>
        <w:gridCol w:w="2477"/>
        <w:gridCol w:w="2477"/>
      </w:tblGrid>
      <w:tr w:rsidR="000D4733" w14:paraId="587B37B5" w14:textId="77777777">
        <w:tblPrEx>
          <w:tblCellMar>
            <w:top w:w="0" w:type="dxa"/>
            <w:bottom w:w="0" w:type="dxa"/>
          </w:tblCellMar>
        </w:tblPrEx>
        <w:tc>
          <w:tcPr>
            <w:tcW w:w="2476" w:type="dxa"/>
            <w:tcBorders>
              <w:top w:val="single" w:sz="1" w:space="0" w:color="D3D1C7"/>
              <w:left w:val="single" w:sz="1" w:space="0" w:color="D3D1C7"/>
              <w:bottom w:val="single" w:sz="1" w:space="0" w:color="D3D1C7"/>
              <w:right w:val="single" w:sz="1" w:space="0" w:color="D3D1C7"/>
            </w:tcBorders>
            <w:shd w:val="clear" w:color="auto" w:fill="E6F1FB"/>
            <w:tcMar>
              <w:top w:w="80" w:type="dxa"/>
              <w:left w:w="120" w:type="dxa"/>
              <w:bottom w:w="80" w:type="dxa"/>
              <w:right w:w="120" w:type="dxa"/>
            </w:tcMar>
          </w:tcPr>
          <w:p w14:paraId="7B131BC9" w14:textId="77777777" w:rsidR="000D4733" w:rsidRDefault="005A6CD1">
            <w:r>
              <w:rPr>
                <w:b/>
                <w:bCs/>
                <w:color w:val="185FA5"/>
                <w:sz w:val="17"/>
                <w:szCs w:val="17"/>
              </w:rPr>
              <w:t>Stakeholder group</w:t>
            </w:r>
          </w:p>
        </w:tc>
        <w:tc>
          <w:tcPr>
            <w:tcW w:w="2476" w:type="dxa"/>
            <w:tcBorders>
              <w:top w:val="single" w:sz="1" w:space="0" w:color="D3D1C7"/>
              <w:left w:val="single" w:sz="1" w:space="0" w:color="D3D1C7"/>
              <w:bottom w:val="single" w:sz="1" w:space="0" w:color="D3D1C7"/>
              <w:right w:val="single" w:sz="1" w:space="0" w:color="D3D1C7"/>
            </w:tcBorders>
            <w:shd w:val="clear" w:color="auto" w:fill="E6F1FB"/>
            <w:tcMar>
              <w:top w:w="80" w:type="dxa"/>
              <w:left w:w="120" w:type="dxa"/>
              <w:bottom w:w="80" w:type="dxa"/>
              <w:right w:w="120" w:type="dxa"/>
            </w:tcMar>
          </w:tcPr>
          <w:p w14:paraId="271DF8F0" w14:textId="77777777" w:rsidR="000D4733" w:rsidRDefault="005A6CD1">
            <w:r>
              <w:rPr>
                <w:b/>
                <w:bCs/>
                <w:color w:val="185FA5"/>
                <w:sz w:val="17"/>
                <w:szCs w:val="17"/>
              </w:rPr>
              <w:t>N</w:t>
            </w:r>
          </w:p>
        </w:tc>
        <w:tc>
          <w:tcPr>
            <w:tcW w:w="2476" w:type="dxa"/>
            <w:tcBorders>
              <w:top w:val="single" w:sz="1" w:space="0" w:color="D3D1C7"/>
              <w:left w:val="single" w:sz="1" w:space="0" w:color="D3D1C7"/>
              <w:bottom w:val="single" w:sz="1" w:space="0" w:color="D3D1C7"/>
              <w:right w:val="single" w:sz="1" w:space="0" w:color="D3D1C7"/>
            </w:tcBorders>
            <w:shd w:val="clear" w:color="auto" w:fill="E6F1FB"/>
            <w:tcMar>
              <w:top w:w="80" w:type="dxa"/>
              <w:left w:w="120" w:type="dxa"/>
              <w:bottom w:w="80" w:type="dxa"/>
              <w:right w:w="120" w:type="dxa"/>
            </w:tcMar>
          </w:tcPr>
          <w:p w14:paraId="43E3DFE3" w14:textId="77777777" w:rsidR="000D4733" w:rsidRDefault="005A6CD1">
            <w:r>
              <w:rPr>
                <w:b/>
                <w:bCs/>
                <w:color w:val="185FA5"/>
                <w:sz w:val="17"/>
                <w:szCs w:val="17"/>
              </w:rPr>
              <w:t>Org size</w:t>
            </w:r>
          </w:p>
        </w:tc>
        <w:tc>
          <w:tcPr>
            <w:tcW w:w="2476" w:type="dxa"/>
            <w:tcBorders>
              <w:top w:val="single" w:sz="1" w:space="0" w:color="D3D1C7"/>
              <w:left w:val="single" w:sz="1" w:space="0" w:color="D3D1C7"/>
              <w:bottom w:val="single" w:sz="1" w:space="0" w:color="D3D1C7"/>
              <w:right w:val="single" w:sz="1" w:space="0" w:color="D3D1C7"/>
            </w:tcBorders>
            <w:shd w:val="clear" w:color="auto" w:fill="E6F1FB"/>
            <w:tcMar>
              <w:top w:w="80" w:type="dxa"/>
              <w:left w:w="120" w:type="dxa"/>
              <w:bottom w:w="80" w:type="dxa"/>
              <w:right w:w="120" w:type="dxa"/>
            </w:tcMar>
          </w:tcPr>
          <w:p w14:paraId="1810D2FF" w14:textId="77777777" w:rsidR="000D4733" w:rsidRDefault="005A6CD1">
            <w:r>
              <w:rPr>
                <w:b/>
                <w:bCs/>
                <w:color w:val="185FA5"/>
                <w:sz w:val="17"/>
                <w:szCs w:val="17"/>
              </w:rPr>
              <w:t>Top roles</w:t>
            </w:r>
          </w:p>
        </w:tc>
      </w:tr>
      <w:tr w:rsidR="000D4733" w14:paraId="1D930B5D" w14:textId="77777777">
        <w:tblPrEx>
          <w:tblCellMar>
            <w:top w:w="0" w:type="dxa"/>
            <w:bottom w:w="0" w:type="dxa"/>
          </w:tblCellMar>
        </w:tblPrEx>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0A150801" w14:textId="77777777" w:rsidR="000D4733" w:rsidRDefault="005A6CD1">
            <w:r>
              <w:rPr>
                <w:color w:val="1A1A1A"/>
                <w:sz w:val="17"/>
                <w:szCs w:val="17"/>
              </w:rPr>
              <w:t>Supply Chain</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63E0BB65" w14:textId="77777777" w:rsidR="000D4733" w:rsidRDefault="005A6CD1">
            <w:r>
              <w:rPr>
                <w:color w:val="1A1A1A"/>
                <w:sz w:val="17"/>
                <w:szCs w:val="17"/>
              </w:rPr>
              <w:t>6</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3F81F1E6" w14:textId="77777777" w:rsidR="000D4733" w:rsidRDefault="005A6CD1">
            <w:r>
              <w:rPr>
                <w:color w:val="1A1A1A"/>
                <w:sz w:val="17"/>
                <w:szCs w:val="17"/>
              </w:rPr>
              <w:t>Mostly 3-49 staff</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7729E715" w14:textId="77777777" w:rsidR="000D4733" w:rsidRDefault="005A6CD1">
            <w:r>
              <w:rPr>
                <w:color w:val="1A1A1A"/>
                <w:sz w:val="17"/>
                <w:szCs w:val="17"/>
              </w:rPr>
              <w:t>Design / Product Dev</w:t>
            </w:r>
          </w:p>
        </w:tc>
      </w:tr>
      <w:tr w:rsidR="000D4733" w14:paraId="1F7BE207" w14:textId="77777777">
        <w:tblPrEx>
          <w:tblCellMar>
            <w:top w:w="0" w:type="dxa"/>
            <w:bottom w:w="0" w:type="dxa"/>
          </w:tblCellMar>
        </w:tblPrEx>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2D27B67E" w14:textId="77777777" w:rsidR="000D4733" w:rsidRDefault="005A6CD1">
            <w:r>
              <w:rPr>
                <w:color w:val="1A1A1A"/>
                <w:sz w:val="17"/>
                <w:szCs w:val="17"/>
              </w:rPr>
              <w:t>Technology &amp; Data</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6790D317" w14:textId="77777777" w:rsidR="000D4733" w:rsidRDefault="005A6CD1">
            <w:r>
              <w:rPr>
                <w:color w:val="1A1A1A"/>
                <w:sz w:val="17"/>
                <w:szCs w:val="17"/>
              </w:rPr>
              <w:t>2</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39FF18F6" w14:textId="77777777" w:rsidR="000D4733" w:rsidRDefault="005A6CD1">
            <w:r>
              <w:rPr>
                <w:color w:val="1A1A1A"/>
                <w:sz w:val="17"/>
                <w:szCs w:val="17"/>
              </w:rPr>
              <w:t>3-49 staff</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0A6D55A9" w14:textId="77777777" w:rsidR="000D4733" w:rsidRDefault="005A6CD1">
            <w:r>
              <w:rPr>
                <w:color w:val="1A1A1A"/>
                <w:sz w:val="17"/>
                <w:szCs w:val="17"/>
              </w:rPr>
              <w:t>CEO / CTO</w:t>
            </w:r>
          </w:p>
        </w:tc>
      </w:tr>
      <w:tr w:rsidR="000D4733" w14:paraId="190969A5" w14:textId="77777777">
        <w:tblPrEx>
          <w:tblCellMar>
            <w:top w:w="0" w:type="dxa"/>
            <w:bottom w:w="0" w:type="dxa"/>
          </w:tblCellMar>
        </w:tblPrEx>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6E9AF1C5" w14:textId="77777777" w:rsidR="000D4733" w:rsidRDefault="005A6CD1">
            <w:r>
              <w:rPr>
                <w:color w:val="1A1A1A"/>
                <w:sz w:val="17"/>
                <w:szCs w:val="17"/>
              </w:rPr>
              <w:t>Circularity &amp; End-of-Life</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4939FA7E" w14:textId="77777777" w:rsidR="000D4733" w:rsidRDefault="005A6CD1">
            <w:r>
              <w:rPr>
                <w:color w:val="1A1A1A"/>
                <w:sz w:val="17"/>
                <w:szCs w:val="17"/>
              </w:rPr>
              <w:t>2</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504B8B37" w14:textId="77777777" w:rsidR="000D4733" w:rsidRDefault="005A6CD1">
            <w:r>
              <w:rPr>
                <w:color w:val="1A1A1A"/>
                <w:sz w:val="17"/>
                <w:szCs w:val="17"/>
              </w:rPr>
              <w:t>3-49 staff</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7D2895D8" w14:textId="77777777" w:rsidR="000D4733" w:rsidRDefault="005A6CD1">
            <w:r>
              <w:rPr>
                <w:color w:val="1A1A1A"/>
                <w:sz w:val="17"/>
                <w:szCs w:val="17"/>
              </w:rPr>
              <w:t>CEO / CSR</w:t>
            </w:r>
          </w:p>
        </w:tc>
      </w:tr>
      <w:tr w:rsidR="000D4733" w14:paraId="590457FC" w14:textId="77777777">
        <w:tblPrEx>
          <w:tblCellMar>
            <w:top w:w="0" w:type="dxa"/>
            <w:bottom w:w="0" w:type="dxa"/>
          </w:tblCellMar>
        </w:tblPrEx>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1926A141" w14:textId="77777777" w:rsidR="000D4733" w:rsidRDefault="005A6CD1">
            <w:r>
              <w:rPr>
                <w:color w:val="1A1A1A"/>
                <w:sz w:val="17"/>
                <w:szCs w:val="17"/>
              </w:rPr>
              <w:t>Policy, Research &amp; Civil Society</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7A050AEF" w14:textId="77777777" w:rsidR="000D4733" w:rsidRDefault="005A6CD1">
            <w:r>
              <w:rPr>
                <w:color w:val="1A1A1A"/>
                <w:sz w:val="17"/>
                <w:szCs w:val="17"/>
              </w:rPr>
              <w:t>1</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2E81683D" w14:textId="77777777" w:rsidR="000D4733" w:rsidRDefault="005A6CD1">
            <w:r>
              <w:rPr>
                <w:color w:val="1A1A1A"/>
                <w:sz w:val="17"/>
                <w:szCs w:val="17"/>
              </w:rPr>
              <w:t>3-9 staff</w:t>
            </w:r>
          </w:p>
        </w:tc>
        <w:tc>
          <w:tcPr>
            <w:tcW w:w="2476" w:type="dxa"/>
            <w:tcBorders>
              <w:top w:val="single" w:sz="1" w:space="0" w:color="D3D1C7"/>
              <w:left w:val="single" w:sz="1" w:space="0" w:color="D3D1C7"/>
              <w:bottom w:val="single" w:sz="1" w:space="0" w:color="D3D1C7"/>
              <w:right w:val="single" w:sz="1" w:space="0" w:color="D3D1C7"/>
            </w:tcBorders>
            <w:tcMar>
              <w:top w:w="80" w:type="dxa"/>
              <w:left w:w="120" w:type="dxa"/>
              <w:bottom w:w="80" w:type="dxa"/>
              <w:right w:w="120" w:type="dxa"/>
            </w:tcMar>
          </w:tcPr>
          <w:p w14:paraId="3588B7EA" w14:textId="77777777" w:rsidR="000D4733" w:rsidRDefault="005A6CD1">
            <w:r>
              <w:rPr>
                <w:color w:val="1A1A1A"/>
                <w:sz w:val="17"/>
                <w:szCs w:val="17"/>
              </w:rPr>
              <w:t>Director</w:t>
            </w:r>
          </w:p>
        </w:tc>
      </w:tr>
    </w:tbl>
    <w:p w14:paraId="16B03F6F" w14:textId="77777777" w:rsidR="000D4733" w:rsidRDefault="005A6CD1">
      <w:r>
        <w:br w:type="page"/>
      </w:r>
    </w:p>
    <w:p w14:paraId="027E337C" w14:textId="77777777" w:rsidR="000D4733" w:rsidRDefault="005A6CD1">
      <w:pPr>
        <w:pBdr>
          <w:bottom w:val="single" w:sz="6" w:space="4" w:color="185FA5"/>
        </w:pBdr>
        <w:spacing w:before="360" w:after="120"/>
      </w:pPr>
      <w:r>
        <w:rPr>
          <w:b/>
          <w:bCs/>
          <w:color w:val="185FA5"/>
          <w:sz w:val="16"/>
          <w:szCs w:val="16"/>
        </w:rPr>
        <w:lastRenderedPageBreak/>
        <w:t>TOPIC 1 - COMPOSITION &amp; CHEMICAL SAFETY</w:t>
      </w:r>
    </w:p>
    <w:p w14:paraId="3E89CB54" w14:textId="77777777" w:rsidR="000D4733" w:rsidRDefault="005A6CD1">
      <w:pPr>
        <w:spacing w:before="240" w:after="60"/>
      </w:pPr>
      <w:r>
        <w:rPr>
          <w:b/>
          <w:bCs/>
          <w:color w:val="5F5E5A"/>
          <w:sz w:val="18"/>
          <w:szCs w:val="18"/>
        </w:rPr>
        <w:t>Q1.1</w:t>
      </w:r>
    </w:p>
    <w:p w14:paraId="474A2099" w14:textId="77777777" w:rsidR="000D4733" w:rsidRDefault="005A6CD1">
      <w:pPr>
        <w:spacing w:after="120"/>
      </w:pPr>
      <w:r>
        <w:rPr>
          <w:i/>
          <w:iCs/>
          <w:color w:val="1A1A1A"/>
        </w:rPr>
        <w:t xml:space="preserve">By 2027, most textile companies can provide product-level material composition data - including </w:t>
      </w:r>
      <w:proofErr w:type="spellStart"/>
      <w:r>
        <w:rPr>
          <w:i/>
          <w:iCs/>
          <w:color w:val="1A1A1A"/>
        </w:rPr>
        <w:t>fibre</w:t>
      </w:r>
      <w:proofErr w:type="spellEnd"/>
      <w:r>
        <w:rPr>
          <w:i/>
          <w:iCs/>
          <w:color w:val="1A1A1A"/>
        </w:rPr>
        <w:t xml:space="preserve"> content and recycled material share - that is traceable to the supply chain partner who provided it.</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60EDF26A"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1D15837" w14:textId="77777777" w:rsidR="000D4733" w:rsidRDefault="005A6CD1">
            <w:pPr>
              <w:spacing w:after="40"/>
            </w:pPr>
            <w:r>
              <w:rPr>
                <w:color w:val="5F5E5A"/>
                <w:sz w:val="16"/>
                <w:szCs w:val="16"/>
              </w:rPr>
              <w:t>How feasible is this by 2027?</w:t>
            </w:r>
          </w:p>
          <w:p w14:paraId="5731E629" w14:textId="77777777" w:rsidR="000D4733" w:rsidRDefault="005A6CD1">
            <w:r>
              <w:rPr>
                <w:noProof/>
              </w:rPr>
              <w:drawing>
                <wp:inline distT="0" distB="0" distL="0" distR="0" wp14:anchorId="177877BE" wp14:editId="03966209">
                  <wp:extent cx="4067175"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305784DF"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8911E8D" w14:textId="77777777" w:rsidR="000D4733" w:rsidRDefault="005A6CD1">
            <w:pPr>
              <w:spacing w:after="40"/>
            </w:pPr>
            <w:r>
              <w:rPr>
                <w:color w:val="5F5E5A"/>
                <w:sz w:val="16"/>
                <w:szCs w:val="16"/>
              </w:rPr>
              <w:t>Should this be required?</w:t>
            </w:r>
          </w:p>
          <w:p w14:paraId="624DE242" w14:textId="77777777" w:rsidR="000D4733" w:rsidRDefault="005A6CD1">
            <w:r>
              <w:rPr>
                <w:noProof/>
              </w:rPr>
              <w:drawing>
                <wp:inline distT="0" distB="0" distL="0" distR="0" wp14:anchorId="3B3B949D" wp14:editId="77C11E5A">
                  <wp:extent cx="2095500" cy="2095500"/>
                  <wp:effectExtent l="0" t="0" r="0" b="0"/>
                  <wp:docPr id="2130733216" name="Picture 213073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0" cy="2095500"/>
                          </a:xfrm>
                          <a:prstGeom prst="rect">
                            <a:avLst/>
                          </a:prstGeom>
                        </pic:spPr>
                      </pic:pic>
                    </a:graphicData>
                  </a:graphic>
                </wp:inline>
              </w:drawing>
            </w:r>
          </w:p>
        </w:tc>
      </w:tr>
    </w:tbl>
    <w:p w14:paraId="2379B0B0"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4B83F2AA" w14:textId="77777777">
        <w:tblPrEx>
          <w:tblCellMar>
            <w:top w:w="0" w:type="dxa"/>
            <w:bottom w:w="0" w:type="dxa"/>
          </w:tblCellMar>
        </w:tblPrEx>
        <w:tc>
          <w:tcPr>
            <w:tcW w:w="9906" w:type="dxa"/>
            <w:tcBorders>
              <w:top w:val="single" w:sz="1" w:space="0" w:color="F1EFE8"/>
              <w:left w:val="thick" w:sz="12" w:space="0" w:color="5F5E5A"/>
              <w:bottom w:val="single" w:sz="1" w:space="0" w:color="F1EFE8"/>
              <w:right w:val="single" w:sz="1" w:space="0" w:color="F1EFE8"/>
            </w:tcBorders>
            <w:shd w:val="clear" w:color="auto" w:fill="F1EFE8"/>
            <w:tcMar>
              <w:top w:w="100" w:type="dxa"/>
              <w:left w:w="160" w:type="dxa"/>
              <w:bottom w:w="100" w:type="dxa"/>
              <w:right w:w="120" w:type="dxa"/>
            </w:tcMar>
          </w:tcPr>
          <w:p w14:paraId="0E7C2429" w14:textId="77777777" w:rsidR="000D4733" w:rsidRDefault="005A6CD1">
            <w:r>
              <w:rPr>
                <w:color w:val="1A1A1A"/>
                <w:sz w:val="17"/>
                <w:szCs w:val="17"/>
              </w:rPr>
              <w:t>Unanimous normative agreement (11/11 yes) but the feasibility picture is split - 5 say unlikely, 4 say likely, 1 uncertain, 1 fully feasible. The panel wants this required but is divided on whether the 2027 timeline is realistic. Round 1 framed the target as a "good enough" standard: declared composition traceable to the data provider - not full molecular precision per batch.</w:t>
            </w:r>
          </w:p>
        </w:tc>
      </w:tr>
    </w:tbl>
    <w:p w14:paraId="20013F53" w14:textId="77777777" w:rsidR="000D4733" w:rsidRDefault="000D4733"/>
    <w:p w14:paraId="6AE70547" w14:textId="77777777" w:rsidR="000D4733" w:rsidRDefault="005A6CD1">
      <w:pPr>
        <w:spacing w:before="240" w:after="60"/>
      </w:pPr>
      <w:r>
        <w:rPr>
          <w:b/>
          <w:bCs/>
          <w:color w:val="5F5E5A"/>
          <w:sz w:val="18"/>
          <w:szCs w:val="18"/>
        </w:rPr>
        <w:t>Q1.2</w:t>
      </w:r>
    </w:p>
    <w:p w14:paraId="3BC2627D" w14:textId="77777777" w:rsidR="000D4733" w:rsidRDefault="005A6CD1">
      <w:pPr>
        <w:spacing w:after="120"/>
      </w:pPr>
      <w:r>
        <w:rPr>
          <w:i/>
          <w:iCs/>
          <w:color w:val="1A1A1A"/>
        </w:rPr>
        <w:t xml:space="preserve">Providing data on plastic </w:t>
      </w:r>
      <w:proofErr w:type="spellStart"/>
      <w:r>
        <w:rPr>
          <w:i/>
          <w:iCs/>
          <w:color w:val="1A1A1A"/>
        </w:rPr>
        <w:t>microfibre</w:t>
      </w:r>
      <w:proofErr w:type="spellEnd"/>
      <w:r>
        <w:rPr>
          <w:i/>
          <w:iCs/>
          <w:color w:val="1A1A1A"/>
        </w:rPr>
        <w:t xml:space="preserve"> and </w:t>
      </w:r>
      <w:proofErr w:type="spellStart"/>
      <w:r>
        <w:rPr>
          <w:i/>
          <w:iCs/>
          <w:color w:val="1A1A1A"/>
        </w:rPr>
        <w:t>nanoplastic</w:t>
      </w:r>
      <w:proofErr w:type="spellEnd"/>
      <w:r>
        <w:rPr>
          <w:i/>
          <w:iCs/>
          <w:color w:val="1A1A1A"/>
        </w:rPr>
        <w:t xml:space="preserve"> release as part of the DPP is achievable for most textile companies by 2027.</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3C553EFF"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B492C41" w14:textId="77777777" w:rsidR="000D4733" w:rsidRDefault="005A6CD1">
            <w:pPr>
              <w:spacing w:after="40"/>
            </w:pPr>
            <w:r>
              <w:rPr>
                <w:color w:val="5F5E5A"/>
                <w:sz w:val="16"/>
                <w:szCs w:val="16"/>
              </w:rPr>
              <w:t>How feasible is this by 2027?</w:t>
            </w:r>
          </w:p>
          <w:p w14:paraId="31338119" w14:textId="77777777" w:rsidR="000D4733" w:rsidRDefault="005A6CD1">
            <w:r>
              <w:rPr>
                <w:noProof/>
              </w:rPr>
              <w:drawing>
                <wp:inline distT="0" distB="0" distL="0" distR="0" wp14:anchorId="46B6624C" wp14:editId="5DE5E456">
                  <wp:extent cx="4067175" cy="1752600"/>
                  <wp:effectExtent l="0" t="0" r="0" b="0"/>
                  <wp:docPr id="1157538901" name="Picture 115753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1FEC5A80"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9589FBD" w14:textId="77777777" w:rsidR="000D4733" w:rsidRDefault="005A6CD1">
            <w:pPr>
              <w:spacing w:after="40"/>
            </w:pPr>
            <w:r>
              <w:rPr>
                <w:color w:val="5F5E5A"/>
                <w:sz w:val="16"/>
                <w:szCs w:val="16"/>
              </w:rPr>
              <w:t>Should this be required?</w:t>
            </w:r>
          </w:p>
          <w:p w14:paraId="67F4FB30" w14:textId="77777777" w:rsidR="000D4733" w:rsidRDefault="005A6CD1">
            <w:r>
              <w:rPr>
                <w:noProof/>
              </w:rPr>
              <w:drawing>
                <wp:inline distT="0" distB="0" distL="0" distR="0" wp14:anchorId="57759234" wp14:editId="5476C25C">
                  <wp:extent cx="2095500" cy="2095500"/>
                  <wp:effectExtent l="0" t="0" r="0" b="0"/>
                  <wp:docPr id="1584670344" name="Picture 158467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0" cy="2095500"/>
                          </a:xfrm>
                          <a:prstGeom prst="rect">
                            <a:avLst/>
                          </a:prstGeom>
                        </pic:spPr>
                      </pic:pic>
                    </a:graphicData>
                  </a:graphic>
                </wp:inline>
              </w:drawing>
            </w:r>
          </w:p>
        </w:tc>
      </w:tr>
    </w:tbl>
    <w:p w14:paraId="2D5E9F52"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45AB93C3" w14:textId="77777777">
        <w:tblPrEx>
          <w:tblCellMar>
            <w:top w:w="0" w:type="dxa"/>
            <w:bottom w:w="0" w:type="dxa"/>
          </w:tblCellMar>
        </w:tblPrEx>
        <w:tc>
          <w:tcPr>
            <w:tcW w:w="9906" w:type="dxa"/>
            <w:tcBorders>
              <w:top w:val="single" w:sz="1" w:space="0" w:color="FCEBEB"/>
              <w:left w:val="thick" w:sz="12" w:space="0" w:color="A32D2D"/>
              <w:bottom w:val="single" w:sz="1" w:space="0" w:color="FCEBEB"/>
              <w:right w:val="single" w:sz="1" w:space="0" w:color="FCEBEB"/>
            </w:tcBorders>
            <w:shd w:val="clear" w:color="auto" w:fill="FCEBEB"/>
            <w:tcMar>
              <w:top w:w="100" w:type="dxa"/>
              <w:left w:w="160" w:type="dxa"/>
              <w:bottom w:w="100" w:type="dxa"/>
              <w:right w:w="120" w:type="dxa"/>
            </w:tcMar>
          </w:tcPr>
          <w:p w14:paraId="2212C8BC" w14:textId="77777777" w:rsidR="000D4733" w:rsidRDefault="005A6CD1">
            <w:r>
              <w:rPr>
                <w:color w:val="1A1A1A"/>
                <w:sz w:val="17"/>
                <w:szCs w:val="17"/>
              </w:rPr>
              <w:t xml:space="preserve">The most contested statement in Round 2. No respondent finds it feasible by 2027 - not a single respondent chose Likely or Fully feasible. The normative question is split 6/5. Both Technology &amp; Data respondents said No. The "No" votes most likely mean "not until a </w:t>
            </w:r>
            <w:proofErr w:type="spellStart"/>
            <w:r>
              <w:rPr>
                <w:color w:val="1A1A1A"/>
                <w:sz w:val="17"/>
                <w:szCs w:val="17"/>
              </w:rPr>
              <w:t>standardised</w:t>
            </w:r>
            <w:proofErr w:type="spellEnd"/>
            <w:r>
              <w:rPr>
                <w:color w:val="1A1A1A"/>
                <w:sz w:val="17"/>
                <w:szCs w:val="17"/>
              </w:rPr>
              <w:t xml:space="preserve"> test method exists" - a known gap flagged in Round 1. The EU's ESPR mandates this data regardless. Round 3 must directly address the distinction between "not required yet" and "not required at all."</w:t>
            </w:r>
          </w:p>
        </w:tc>
      </w:tr>
    </w:tbl>
    <w:p w14:paraId="625073E8" w14:textId="77777777" w:rsidR="000D4733" w:rsidRDefault="005A6CD1">
      <w:r>
        <w:br w:type="page"/>
      </w:r>
    </w:p>
    <w:p w14:paraId="437B83D7" w14:textId="77777777" w:rsidR="000D4733" w:rsidRDefault="005A6CD1">
      <w:pPr>
        <w:spacing w:before="240" w:after="60"/>
      </w:pPr>
      <w:r>
        <w:rPr>
          <w:b/>
          <w:bCs/>
          <w:color w:val="5F5E5A"/>
          <w:sz w:val="18"/>
          <w:szCs w:val="18"/>
        </w:rPr>
        <w:lastRenderedPageBreak/>
        <w:t>Q1.3</w:t>
      </w:r>
    </w:p>
    <w:p w14:paraId="747DB2E8" w14:textId="77777777" w:rsidR="000D4733" w:rsidRDefault="005A6CD1">
      <w:pPr>
        <w:spacing w:after="120"/>
      </w:pPr>
      <w:r>
        <w:rPr>
          <w:i/>
          <w:iCs/>
          <w:color w:val="1A1A1A"/>
        </w:rPr>
        <w:t>Independent third-party verification of material composition claims in the DPP is currently too expensive, too opaque, and too easy to circumvent to be reliable across the textile value chain.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3B7FD3CA"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5456C63" w14:textId="77777777" w:rsidR="000D4733" w:rsidRDefault="005A6CD1">
            <w:pPr>
              <w:spacing w:after="40"/>
            </w:pPr>
            <w:r>
              <w:rPr>
                <w:color w:val="5F5E5A"/>
                <w:sz w:val="16"/>
                <w:szCs w:val="16"/>
              </w:rPr>
              <w:t>How feasible is this by 2027?</w:t>
            </w:r>
          </w:p>
          <w:p w14:paraId="235BE06B" w14:textId="77777777" w:rsidR="000D4733" w:rsidRDefault="005A6CD1">
            <w:r>
              <w:rPr>
                <w:noProof/>
              </w:rPr>
              <w:drawing>
                <wp:inline distT="0" distB="0" distL="0" distR="0" wp14:anchorId="6B0B2BB8" wp14:editId="26992C0E">
                  <wp:extent cx="4067175" cy="1752600"/>
                  <wp:effectExtent l="0" t="0" r="0" b="0"/>
                  <wp:docPr id="1333603934" name="Picture 133360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16BD232B"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0FAE83C" w14:textId="77777777" w:rsidR="000D4733" w:rsidRDefault="005A6CD1">
            <w:pPr>
              <w:spacing w:after="40"/>
            </w:pPr>
            <w:r>
              <w:rPr>
                <w:color w:val="5F5E5A"/>
                <w:sz w:val="16"/>
                <w:szCs w:val="16"/>
              </w:rPr>
              <w:t>Should verification be mandatory?</w:t>
            </w:r>
          </w:p>
          <w:p w14:paraId="64AC27CD" w14:textId="77777777" w:rsidR="000D4733" w:rsidRDefault="005A6CD1">
            <w:r>
              <w:rPr>
                <w:noProof/>
              </w:rPr>
              <w:drawing>
                <wp:inline distT="0" distB="0" distL="0" distR="0" wp14:anchorId="5D3BD273" wp14:editId="5B057CE9">
                  <wp:extent cx="2095500" cy="2095500"/>
                  <wp:effectExtent l="0" t="0" r="0" b="0"/>
                  <wp:docPr id="1957797457" name="Picture 195779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0" cy="2095500"/>
                          </a:xfrm>
                          <a:prstGeom prst="rect">
                            <a:avLst/>
                          </a:prstGeom>
                        </pic:spPr>
                      </pic:pic>
                    </a:graphicData>
                  </a:graphic>
                </wp:inline>
              </w:drawing>
            </w:r>
          </w:p>
        </w:tc>
      </w:tr>
    </w:tbl>
    <w:p w14:paraId="31ECD0F0" w14:textId="77777777" w:rsidR="000D4733" w:rsidRDefault="000D4733">
      <w:pPr>
        <w:spacing w:line="80" w:lineRule="auto"/>
      </w:pPr>
    </w:p>
    <w:p w14:paraId="651857E2" w14:textId="77777777" w:rsidR="000D4733" w:rsidRDefault="005A6CD1">
      <w:pPr>
        <w:spacing w:before="80" w:after="40"/>
      </w:pPr>
      <w:r>
        <w:rPr>
          <w:color w:val="5F5E5A"/>
          <w:sz w:val="16"/>
          <w:szCs w:val="16"/>
        </w:rPr>
        <w:t>If yes - who should accredit and oversee verification bodies? (n=8)</w:t>
      </w:r>
    </w:p>
    <w:p w14:paraId="71F06AFD" w14:textId="77777777" w:rsidR="000D4733" w:rsidRDefault="005A6CD1">
      <w:r>
        <w:rPr>
          <w:noProof/>
        </w:rPr>
        <w:drawing>
          <wp:inline distT="0" distB="0" distL="0" distR="0" wp14:anchorId="7C95EF80" wp14:editId="1F12012E">
            <wp:extent cx="6286500" cy="1905000"/>
            <wp:effectExtent l="0" t="0" r="0" b="0"/>
            <wp:docPr id="2084055277" name="Picture 208405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6286500" cy="1905000"/>
                    </a:xfrm>
                    <a:prstGeom prst="rect">
                      <a:avLst/>
                    </a:prstGeom>
                  </pic:spPr>
                </pic:pic>
              </a:graphicData>
            </a:graphic>
          </wp:inline>
        </w:drawing>
      </w:r>
    </w:p>
    <w:p w14:paraId="2F456FB6"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1C019345" w14:textId="77777777">
        <w:tblPrEx>
          <w:tblCellMar>
            <w:top w:w="0" w:type="dxa"/>
            <w:bottom w:w="0" w:type="dxa"/>
          </w:tblCellMar>
        </w:tblPrEx>
        <w:tc>
          <w:tcPr>
            <w:tcW w:w="9906" w:type="dxa"/>
            <w:tcBorders>
              <w:top w:val="single" w:sz="1" w:space="0" w:color="F1EFE8"/>
              <w:left w:val="thick" w:sz="12" w:space="0" w:color="5F5E5A"/>
              <w:bottom w:val="single" w:sz="1" w:space="0" w:color="F1EFE8"/>
              <w:right w:val="single" w:sz="1" w:space="0" w:color="F1EFE8"/>
            </w:tcBorders>
            <w:shd w:val="clear" w:color="auto" w:fill="F1EFE8"/>
            <w:tcMar>
              <w:top w:w="100" w:type="dxa"/>
              <w:left w:w="160" w:type="dxa"/>
              <w:bottom w:w="100" w:type="dxa"/>
              <w:right w:w="120" w:type="dxa"/>
            </w:tcMar>
          </w:tcPr>
          <w:p w14:paraId="15DB6014" w14:textId="77777777" w:rsidR="000D4733" w:rsidRDefault="005A6CD1">
            <w:r>
              <w:rPr>
                <w:color w:val="1A1A1A"/>
                <w:sz w:val="17"/>
                <w:szCs w:val="17"/>
              </w:rPr>
              <w:t>Majority normative agreement (8/11) but feasibility is the most evenly spread result in the entire dataset - almost flat across all five options. Note: the statement is phrased negatively - agreeing means agreeing the current system is broken, not that verification is wrong in principle. The 3 "No" votes are both Technology &amp; Data respondents plus one Supply Chain. Governance is genuinely contested with votes spread across four different bodies.</w:t>
            </w:r>
          </w:p>
        </w:tc>
      </w:tr>
    </w:tbl>
    <w:p w14:paraId="037B73CB" w14:textId="77777777" w:rsidR="000D4733" w:rsidRDefault="005A6CD1">
      <w:r>
        <w:br w:type="page"/>
      </w:r>
    </w:p>
    <w:p w14:paraId="3215EF4A" w14:textId="77777777" w:rsidR="000D4733" w:rsidRDefault="005A6CD1">
      <w:pPr>
        <w:pBdr>
          <w:bottom w:val="single" w:sz="6" w:space="4" w:color="185FA5"/>
        </w:pBdr>
        <w:spacing w:before="360" w:after="120"/>
      </w:pPr>
      <w:r>
        <w:rPr>
          <w:b/>
          <w:bCs/>
          <w:color w:val="185FA5"/>
          <w:sz w:val="16"/>
          <w:szCs w:val="16"/>
        </w:rPr>
        <w:lastRenderedPageBreak/>
        <w:t>TOPIC 2 - SUPPLY CHAIN TRACEABILITY</w:t>
      </w:r>
    </w:p>
    <w:p w14:paraId="0E89BABC" w14:textId="77777777" w:rsidR="000D4733" w:rsidRDefault="005A6CD1">
      <w:pPr>
        <w:spacing w:before="240" w:after="60"/>
      </w:pPr>
      <w:r>
        <w:rPr>
          <w:b/>
          <w:bCs/>
          <w:color w:val="5F5E5A"/>
          <w:sz w:val="18"/>
          <w:szCs w:val="18"/>
        </w:rPr>
        <w:t>Q2.1</w:t>
      </w:r>
    </w:p>
    <w:p w14:paraId="54CD7166" w14:textId="77777777" w:rsidR="000D4733" w:rsidRDefault="005A6CD1">
      <w:pPr>
        <w:spacing w:after="120"/>
      </w:pPr>
      <w:r>
        <w:rPr>
          <w:i/>
          <w:iCs/>
          <w:color w:val="1A1A1A"/>
        </w:rPr>
        <w:t>By 2027, most textile brands can reliably report where the main steps in making their products happened - such as where fabric was woven, dyed, and the garment was sewn together.</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5CCA43CF"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8842B3F" w14:textId="77777777" w:rsidR="000D4733" w:rsidRDefault="005A6CD1">
            <w:pPr>
              <w:spacing w:after="40"/>
            </w:pPr>
            <w:r>
              <w:rPr>
                <w:color w:val="5F5E5A"/>
                <w:sz w:val="16"/>
                <w:szCs w:val="16"/>
              </w:rPr>
              <w:t>How feasible is this by 2027?</w:t>
            </w:r>
          </w:p>
          <w:p w14:paraId="317BFDE2" w14:textId="77777777" w:rsidR="000D4733" w:rsidRDefault="005A6CD1">
            <w:r>
              <w:rPr>
                <w:noProof/>
              </w:rPr>
              <w:drawing>
                <wp:inline distT="0" distB="0" distL="0" distR="0" wp14:anchorId="10C408F9" wp14:editId="4B98E1F8">
                  <wp:extent cx="4067175" cy="1752600"/>
                  <wp:effectExtent l="0" t="0" r="0" b="0"/>
                  <wp:docPr id="872825720" name="Picture 87282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7CC79373"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F70A681" w14:textId="77777777" w:rsidR="000D4733" w:rsidRDefault="005A6CD1">
            <w:pPr>
              <w:spacing w:after="40"/>
            </w:pPr>
            <w:r>
              <w:rPr>
                <w:color w:val="5F5E5A"/>
                <w:sz w:val="16"/>
                <w:szCs w:val="16"/>
              </w:rPr>
              <w:t>Should this be required?</w:t>
            </w:r>
          </w:p>
          <w:p w14:paraId="6FB062C6" w14:textId="77777777" w:rsidR="000D4733" w:rsidRDefault="005A6CD1">
            <w:r>
              <w:rPr>
                <w:noProof/>
              </w:rPr>
              <w:drawing>
                <wp:inline distT="0" distB="0" distL="0" distR="0" wp14:anchorId="4321B2B2" wp14:editId="7ED13B11">
                  <wp:extent cx="2095500" cy="2095500"/>
                  <wp:effectExtent l="0" t="0" r="0" b="0"/>
                  <wp:docPr id="1315386246" name="Picture 131538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095500" cy="2095500"/>
                          </a:xfrm>
                          <a:prstGeom prst="rect">
                            <a:avLst/>
                          </a:prstGeom>
                        </pic:spPr>
                      </pic:pic>
                    </a:graphicData>
                  </a:graphic>
                </wp:inline>
              </w:drawing>
            </w:r>
          </w:p>
        </w:tc>
      </w:tr>
    </w:tbl>
    <w:p w14:paraId="56983C08"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2CB373FB" w14:textId="77777777">
        <w:tblPrEx>
          <w:tblCellMar>
            <w:top w:w="0" w:type="dxa"/>
            <w:bottom w:w="0" w:type="dxa"/>
          </w:tblCellMar>
        </w:tblPrEx>
        <w:tc>
          <w:tcPr>
            <w:tcW w:w="9906" w:type="dxa"/>
            <w:tcBorders>
              <w:top w:val="single" w:sz="1" w:space="0" w:color="EAF3DE"/>
              <w:left w:val="thick" w:sz="12" w:space="0" w:color="3B6D11"/>
              <w:bottom w:val="single" w:sz="1" w:space="0" w:color="EAF3DE"/>
              <w:right w:val="single" w:sz="1" w:space="0" w:color="EAF3DE"/>
            </w:tcBorders>
            <w:shd w:val="clear" w:color="auto" w:fill="EAF3DE"/>
            <w:tcMar>
              <w:top w:w="100" w:type="dxa"/>
              <w:left w:w="160" w:type="dxa"/>
              <w:bottom w:w="100" w:type="dxa"/>
              <w:right w:w="120" w:type="dxa"/>
            </w:tcMar>
          </w:tcPr>
          <w:p w14:paraId="2943E4F6" w14:textId="77777777" w:rsidR="000D4733" w:rsidRDefault="005A6CD1">
            <w:r>
              <w:rPr>
                <w:color w:val="1A1A1A"/>
                <w:sz w:val="17"/>
                <w:szCs w:val="17"/>
              </w:rPr>
              <w:t>Strong normative agreement (10/11) and a more positive feasibility picture than Topic 1 - a majority lean toward feasible. One of the cleaner findings in the dataset. The single "No" (Circularity &amp; End-of-Life) is consistent with that respondent's open comment framing responsibility with brands and suppliers, not the DPP system. Round 1 consensus: Tier 1 visibility is the realistic 2027 target; beyond that is partial at best.</w:t>
            </w:r>
          </w:p>
        </w:tc>
      </w:tr>
    </w:tbl>
    <w:p w14:paraId="7B752A03" w14:textId="77777777" w:rsidR="000D4733" w:rsidRDefault="000D4733"/>
    <w:p w14:paraId="58D9C061" w14:textId="77777777" w:rsidR="000D4733" w:rsidRDefault="005A6CD1">
      <w:pPr>
        <w:spacing w:before="240" w:after="60"/>
      </w:pPr>
      <w:r>
        <w:rPr>
          <w:b/>
          <w:bCs/>
          <w:color w:val="5F5E5A"/>
          <w:sz w:val="18"/>
          <w:szCs w:val="18"/>
        </w:rPr>
        <w:t>Q2.2</w:t>
      </w:r>
    </w:p>
    <w:p w14:paraId="34B63CDB" w14:textId="77777777" w:rsidR="000D4733" w:rsidRDefault="005A6CD1">
      <w:pPr>
        <w:spacing w:after="120"/>
      </w:pPr>
      <w:r>
        <w:rPr>
          <w:i/>
          <w:iCs/>
          <w:color w:val="1A1A1A"/>
        </w:rPr>
        <w:t>A shared, open and free-to-use data standard - so that suppliers only need to report their production information in one format, usable by all the brands they work with - does not yet exist. Creating and widely adopting such a standard is realistic by 2027.</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5B65CA34"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E495B73" w14:textId="77777777" w:rsidR="000D4733" w:rsidRDefault="005A6CD1">
            <w:pPr>
              <w:spacing w:after="40"/>
            </w:pPr>
            <w:r>
              <w:rPr>
                <w:color w:val="5F5E5A"/>
                <w:sz w:val="16"/>
                <w:szCs w:val="16"/>
              </w:rPr>
              <w:t>How feasible is this by 2027?</w:t>
            </w:r>
          </w:p>
          <w:p w14:paraId="6F4625F6" w14:textId="77777777" w:rsidR="000D4733" w:rsidRDefault="005A6CD1">
            <w:r>
              <w:rPr>
                <w:noProof/>
              </w:rPr>
              <w:drawing>
                <wp:inline distT="0" distB="0" distL="0" distR="0" wp14:anchorId="3BD3E44D" wp14:editId="4AEA31D1">
                  <wp:extent cx="4067175" cy="1752600"/>
                  <wp:effectExtent l="0" t="0" r="0" b="0"/>
                  <wp:docPr id="1981908735" name="Picture 1981908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712B50BD"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5C564F6" w14:textId="77777777" w:rsidR="000D4733" w:rsidRDefault="005A6CD1">
            <w:pPr>
              <w:spacing w:after="40"/>
            </w:pPr>
            <w:r>
              <w:rPr>
                <w:color w:val="5F5E5A"/>
                <w:sz w:val="16"/>
                <w:szCs w:val="16"/>
              </w:rPr>
              <w:t>Should this be developed?</w:t>
            </w:r>
          </w:p>
          <w:p w14:paraId="20BF066A" w14:textId="77777777" w:rsidR="000D4733" w:rsidRDefault="005A6CD1">
            <w:r>
              <w:rPr>
                <w:noProof/>
              </w:rPr>
              <w:drawing>
                <wp:inline distT="0" distB="0" distL="0" distR="0" wp14:anchorId="15860295" wp14:editId="511DD7EF">
                  <wp:extent cx="2095500" cy="2095500"/>
                  <wp:effectExtent l="0" t="0" r="0" b="0"/>
                  <wp:docPr id="1318595187" name="Picture 131859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0" cy="2095500"/>
                          </a:xfrm>
                          <a:prstGeom prst="rect">
                            <a:avLst/>
                          </a:prstGeom>
                        </pic:spPr>
                      </pic:pic>
                    </a:graphicData>
                  </a:graphic>
                </wp:inline>
              </w:drawing>
            </w:r>
          </w:p>
        </w:tc>
      </w:tr>
    </w:tbl>
    <w:p w14:paraId="6B0B017B" w14:textId="77777777" w:rsidR="000D4733" w:rsidRDefault="000D4733">
      <w:pPr>
        <w:spacing w:line="80" w:lineRule="auto"/>
      </w:pPr>
    </w:p>
    <w:p w14:paraId="2044CEA9" w14:textId="77777777" w:rsidR="000D4733" w:rsidRDefault="005A6CD1">
      <w:pPr>
        <w:spacing w:before="80" w:after="40"/>
      </w:pPr>
      <w:r>
        <w:rPr>
          <w:color w:val="5F5E5A"/>
          <w:sz w:val="16"/>
          <w:szCs w:val="16"/>
        </w:rPr>
        <w:t>If yes - who should take the lead? (n=11)</w:t>
      </w:r>
    </w:p>
    <w:p w14:paraId="0AB8F05B" w14:textId="77777777" w:rsidR="000D4733" w:rsidRDefault="005A6CD1">
      <w:r>
        <w:rPr>
          <w:noProof/>
        </w:rPr>
        <w:drawing>
          <wp:inline distT="0" distB="0" distL="0" distR="0" wp14:anchorId="00F1C272" wp14:editId="612F43B8">
            <wp:extent cx="4193309" cy="1270700"/>
            <wp:effectExtent l="0" t="0" r="0" b="0"/>
            <wp:docPr id="1943858928" name="Picture 194385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359145" cy="1320953"/>
                    </a:xfrm>
                    <a:prstGeom prst="rect">
                      <a:avLst/>
                    </a:prstGeom>
                  </pic:spPr>
                </pic:pic>
              </a:graphicData>
            </a:graphic>
          </wp:inline>
        </w:drawing>
      </w:r>
    </w:p>
    <w:p w14:paraId="73E9870E"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51A638C0" w14:textId="77777777">
        <w:tblPrEx>
          <w:tblCellMar>
            <w:top w:w="0" w:type="dxa"/>
            <w:bottom w:w="0" w:type="dxa"/>
          </w:tblCellMar>
        </w:tblPrEx>
        <w:tc>
          <w:tcPr>
            <w:tcW w:w="9906" w:type="dxa"/>
            <w:tcBorders>
              <w:top w:val="single" w:sz="1" w:space="0" w:color="F1EFE8"/>
              <w:left w:val="thick" w:sz="12" w:space="0" w:color="5F5E5A"/>
              <w:bottom w:val="single" w:sz="1" w:space="0" w:color="F1EFE8"/>
              <w:right w:val="single" w:sz="1" w:space="0" w:color="F1EFE8"/>
            </w:tcBorders>
            <w:shd w:val="clear" w:color="auto" w:fill="F1EFE8"/>
            <w:tcMar>
              <w:top w:w="100" w:type="dxa"/>
              <w:left w:w="160" w:type="dxa"/>
              <w:bottom w:w="100" w:type="dxa"/>
              <w:right w:w="120" w:type="dxa"/>
            </w:tcMar>
          </w:tcPr>
          <w:p w14:paraId="60EF2689" w14:textId="77777777" w:rsidR="000D4733" w:rsidRDefault="005A6CD1">
            <w:r>
              <w:rPr>
                <w:color w:val="1A1A1A"/>
                <w:sz w:val="17"/>
                <w:szCs w:val="17"/>
              </w:rPr>
              <w:t>Second unanimous normative finding (11/11 yes), but a majority see it as unlikely feasible by 2027. The CEN/ISO plurality (5/11) is the clearest governance preference in the dataset - supported by the argument that ISO 9001/14001 are globally adopted, making them the only realistic vehicle for non-EU suppliers. "Plurality of 5 on a panel of 11" still warrants caution about overstating this as consensus.</w:t>
            </w:r>
          </w:p>
        </w:tc>
      </w:tr>
    </w:tbl>
    <w:p w14:paraId="70DBF590" w14:textId="77777777" w:rsidR="000D4733" w:rsidRDefault="005A6CD1">
      <w:r>
        <w:br w:type="page"/>
      </w:r>
    </w:p>
    <w:p w14:paraId="41689105" w14:textId="77777777" w:rsidR="000D4733" w:rsidRDefault="005A6CD1">
      <w:pPr>
        <w:spacing w:before="240" w:after="60"/>
      </w:pPr>
      <w:r>
        <w:rPr>
          <w:b/>
          <w:bCs/>
          <w:color w:val="5F5E5A"/>
          <w:sz w:val="18"/>
          <w:szCs w:val="18"/>
        </w:rPr>
        <w:lastRenderedPageBreak/>
        <w:t>Q2.4</w:t>
      </w:r>
    </w:p>
    <w:p w14:paraId="63904275" w14:textId="77777777" w:rsidR="000D4733" w:rsidRDefault="005A6CD1">
      <w:pPr>
        <w:spacing w:after="120"/>
      </w:pPr>
      <w:r>
        <w:rPr>
          <w:i/>
          <w:iCs/>
          <w:color w:val="1A1A1A"/>
        </w:rPr>
        <w:t>Current certification models - which are designed for large-scale, repeatable production - do not work for companies producing in small batches or on demand. The DPP compliance framework as currently designed will place a disproportionate burden on these producers.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47106601"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05273F2" w14:textId="77777777" w:rsidR="000D4733" w:rsidRDefault="005A6CD1">
            <w:pPr>
              <w:spacing w:after="40"/>
            </w:pPr>
            <w:r>
              <w:rPr>
                <w:color w:val="5F5E5A"/>
                <w:sz w:val="16"/>
                <w:szCs w:val="16"/>
              </w:rPr>
              <w:t>How feasible is this by 2027?</w:t>
            </w:r>
          </w:p>
          <w:p w14:paraId="6636E4E7" w14:textId="77777777" w:rsidR="000D4733" w:rsidRDefault="005A6CD1">
            <w:r>
              <w:rPr>
                <w:noProof/>
              </w:rPr>
              <w:drawing>
                <wp:inline distT="0" distB="0" distL="0" distR="0" wp14:anchorId="5899780D" wp14:editId="129F7AAB">
                  <wp:extent cx="4067175" cy="1752600"/>
                  <wp:effectExtent l="0" t="0" r="0" b="0"/>
                  <wp:docPr id="788486329" name="Picture 78848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62F85186"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B5C7930" w14:textId="77777777" w:rsidR="000D4733" w:rsidRDefault="005A6CD1">
            <w:pPr>
              <w:spacing w:after="40"/>
            </w:pPr>
            <w:r>
              <w:rPr>
                <w:color w:val="5F5E5A"/>
                <w:sz w:val="16"/>
                <w:szCs w:val="16"/>
              </w:rPr>
              <w:t>Should the DPP include a small-batch pathway?</w:t>
            </w:r>
          </w:p>
          <w:p w14:paraId="55A21BC6" w14:textId="77777777" w:rsidR="000D4733" w:rsidRDefault="005A6CD1">
            <w:r>
              <w:rPr>
                <w:noProof/>
              </w:rPr>
              <w:drawing>
                <wp:inline distT="0" distB="0" distL="0" distR="0" wp14:anchorId="0B31B3D6" wp14:editId="0CCCD7AF">
                  <wp:extent cx="2095500" cy="2095500"/>
                  <wp:effectExtent l="0" t="0" r="0" b="0"/>
                  <wp:docPr id="1686033705" name="Picture 168603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095500" cy="2095500"/>
                          </a:xfrm>
                          <a:prstGeom prst="rect">
                            <a:avLst/>
                          </a:prstGeom>
                        </pic:spPr>
                      </pic:pic>
                    </a:graphicData>
                  </a:graphic>
                </wp:inline>
              </w:drawing>
            </w:r>
          </w:p>
        </w:tc>
      </w:tr>
    </w:tbl>
    <w:p w14:paraId="5B25FD7E"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0CA7DA16" w14:textId="77777777">
        <w:tblPrEx>
          <w:tblCellMar>
            <w:top w:w="0" w:type="dxa"/>
            <w:bottom w:w="0" w:type="dxa"/>
          </w:tblCellMar>
        </w:tblPrEx>
        <w:tc>
          <w:tcPr>
            <w:tcW w:w="9906" w:type="dxa"/>
            <w:tcBorders>
              <w:top w:val="single" w:sz="1" w:space="0" w:color="EAF3DE"/>
              <w:left w:val="thick" w:sz="12" w:space="0" w:color="3B6D11"/>
              <w:bottom w:val="single" w:sz="1" w:space="0" w:color="EAF3DE"/>
              <w:right w:val="single" w:sz="1" w:space="0" w:color="EAF3DE"/>
            </w:tcBorders>
            <w:shd w:val="clear" w:color="auto" w:fill="EAF3DE"/>
            <w:tcMar>
              <w:top w:w="100" w:type="dxa"/>
              <w:left w:w="160" w:type="dxa"/>
              <w:bottom w:w="100" w:type="dxa"/>
              <w:right w:w="120" w:type="dxa"/>
            </w:tcMar>
          </w:tcPr>
          <w:p w14:paraId="5B7AAF67" w14:textId="77777777" w:rsidR="000D4733" w:rsidRDefault="005A6CD1">
            <w:r>
              <w:rPr>
                <w:color w:val="1A1A1A"/>
                <w:sz w:val="17"/>
                <w:szCs w:val="17"/>
              </w:rPr>
              <w:t>Strong normative agreement (10/11). Feasibility is split but leans slightly positive (4 likely vs 3 unlikely vs 3 uncertain vs 1 not feasible). Derived from the Industry Living Lab workshop - the batch-certification incompatibility was identified as a systemic design flaw. The single "No" is the same respondent who said No to Q2.1: a consistent position, not an SME-specific objection.</w:t>
            </w:r>
          </w:p>
        </w:tc>
      </w:tr>
    </w:tbl>
    <w:p w14:paraId="1E664567" w14:textId="77777777" w:rsidR="000D4733" w:rsidRDefault="005A6CD1">
      <w:r>
        <w:br w:type="page"/>
      </w:r>
    </w:p>
    <w:p w14:paraId="548137DD" w14:textId="77777777" w:rsidR="000D4733" w:rsidRDefault="005A6CD1">
      <w:pPr>
        <w:pBdr>
          <w:bottom w:val="single" w:sz="6" w:space="4" w:color="185FA5"/>
        </w:pBdr>
        <w:spacing w:before="360" w:after="120"/>
      </w:pPr>
      <w:r>
        <w:rPr>
          <w:b/>
          <w:bCs/>
          <w:color w:val="185FA5"/>
          <w:sz w:val="16"/>
          <w:szCs w:val="16"/>
        </w:rPr>
        <w:lastRenderedPageBreak/>
        <w:t>TOPIC 3 - RECYCLABILITY</w:t>
      </w:r>
    </w:p>
    <w:p w14:paraId="7C490301" w14:textId="77777777" w:rsidR="000D4733" w:rsidRDefault="005A6CD1">
      <w:pPr>
        <w:spacing w:before="240" w:after="60"/>
      </w:pPr>
      <w:r>
        <w:rPr>
          <w:b/>
          <w:bCs/>
          <w:color w:val="5F5E5A"/>
          <w:sz w:val="18"/>
          <w:szCs w:val="18"/>
        </w:rPr>
        <w:t>Q3.1</w:t>
      </w:r>
    </w:p>
    <w:p w14:paraId="180548E2" w14:textId="77777777" w:rsidR="000D4733" w:rsidRDefault="005A6CD1">
      <w:pPr>
        <w:spacing w:after="120"/>
      </w:pPr>
      <w:r>
        <w:rPr>
          <w:i/>
          <w:iCs/>
          <w:color w:val="1A1A1A"/>
        </w:rPr>
        <w:t>A shared and agreed method for assessing whether a product is recyclable - one that works across different recycling technologies - will be available in time for the 2027 DPP requirements.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67EE32BA"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DC9C1D2" w14:textId="77777777" w:rsidR="000D4733" w:rsidRDefault="005A6CD1">
            <w:pPr>
              <w:spacing w:after="40"/>
            </w:pPr>
            <w:r>
              <w:rPr>
                <w:color w:val="5F5E5A"/>
                <w:sz w:val="16"/>
                <w:szCs w:val="16"/>
              </w:rPr>
              <w:t>How feasible is this by 2027?</w:t>
            </w:r>
          </w:p>
          <w:p w14:paraId="601D6636" w14:textId="77777777" w:rsidR="000D4733" w:rsidRDefault="005A6CD1">
            <w:r>
              <w:rPr>
                <w:noProof/>
              </w:rPr>
              <w:drawing>
                <wp:inline distT="0" distB="0" distL="0" distR="0" wp14:anchorId="297B1E3B" wp14:editId="7343861C">
                  <wp:extent cx="4067175" cy="1752600"/>
                  <wp:effectExtent l="0" t="0" r="0" b="0"/>
                  <wp:docPr id="1105124034" name="Picture 110512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62E7060C"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3DFF1CB" w14:textId="77777777" w:rsidR="000D4733" w:rsidRDefault="005A6CD1">
            <w:pPr>
              <w:spacing w:after="40"/>
            </w:pPr>
            <w:r>
              <w:rPr>
                <w:color w:val="5F5E5A"/>
                <w:sz w:val="16"/>
                <w:szCs w:val="16"/>
              </w:rPr>
              <w:t>Should this precede mandatory reporting?</w:t>
            </w:r>
          </w:p>
          <w:p w14:paraId="514BE71D" w14:textId="77777777" w:rsidR="000D4733" w:rsidRDefault="005A6CD1">
            <w:r>
              <w:rPr>
                <w:noProof/>
              </w:rPr>
              <w:drawing>
                <wp:inline distT="0" distB="0" distL="0" distR="0" wp14:anchorId="007CE7B9" wp14:editId="52D247F2">
                  <wp:extent cx="2095500" cy="2095500"/>
                  <wp:effectExtent l="0" t="0" r="0" b="0"/>
                  <wp:docPr id="1644126362" name="Picture 164412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095500" cy="2095500"/>
                          </a:xfrm>
                          <a:prstGeom prst="rect">
                            <a:avLst/>
                          </a:prstGeom>
                        </pic:spPr>
                      </pic:pic>
                    </a:graphicData>
                  </a:graphic>
                </wp:inline>
              </w:drawing>
            </w:r>
          </w:p>
        </w:tc>
      </w:tr>
    </w:tbl>
    <w:p w14:paraId="381CF8B1" w14:textId="77777777" w:rsidR="000D4733" w:rsidRDefault="000D4733">
      <w:pPr>
        <w:spacing w:line="80" w:lineRule="auto"/>
      </w:pPr>
    </w:p>
    <w:p w14:paraId="4A7D6016" w14:textId="77777777" w:rsidR="000D4733" w:rsidRDefault="005A6CD1">
      <w:pPr>
        <w:spacing w:before="80" w:after="40"/>
      </w:pPr>
      <w:r>
        <w:rPr>
          <w:color w:val="5F5E5A"/>
          <w:sz w:val="16"/>
          <w:szCs w:val="16"/>
        </w:rPr>
        <w:t>If yes - who should take the lead? (n=9)</w:t>
      </w:r>
    </w:p>
    <w:p w14:paraId="46DC1843" w14:textId="77777777" w:rsidR="000D4733" w:rsidRDefault="005A6CD1">
      <w:r>
        <w:rPr>
          <w:noProof/>
        </w:rPr>
        <w:drawing>
          <wp:inline distT="0" distB="0" distL="0" distR="0" wp14:anchorId="681F0167" wp14:editId="277C6DE4">
            <wp:extent cx="4544291" cy="1129187"/>
            <wp:effectExtent l="0" t="0" r="2540" b="1270"/>
            <wp:docPr id="434886751" name="Picture 43488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662866" cy="1158651"/>
                    </a:xfrm>
                    <a:prstGeom prst="rect">
                      <a:avLst/>
                    </a:prstGeom>
                  </pic:spPr>
                </pic:pic>
              </a:graphicData>
            </a:graphic>
          </wp:inline>
        </w:drawing>
      </w:r>
    </w:p>
    <w:p w14:paraId="049BAE3E"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12EBD2A5" w14:textId="77777777">
        <w:tblPrEx>
          <w:tblCellMar>
            <w:top w:w="0" w:type="dxa"/>
            <w:bottom w:w="0" w:type="dxa"/>
          </w:tblCellMar>
        </w:tblPrEx>
        <w:tc>
          <w:tcPr>
            <w:tcW w:w="9906" w:type="dxa"/>
            <w:tcBorders>
              <w:top w:val="single" w:sz="1" w:space="0" w:color="FCEBEB"/>
              <w:left w:val="thick" w:sz="12" w:space="0" w:color="A32D2D"/>
              <w:bottom w:val="single" w:sz="1" w:space="0" w:color="FCEBEB"/>
              <w:right w:val="single" w:sz="1" w:space="0" w:color="FCEBEB"/>
            </w:tcBorders>
            <w:shd w:val="clear" w:color="auto" w:fill="FCEBEB"/>
            <w:tcMar>
              <w:top w:w="100" w:type="dxa"/>
              <w:left w:w="160" w:type="dxa"/>
              <w:bottom w:w="100" w:type="dxa"/>
              <w:right w:w="120" w:type="dxa"/>
            </w:tcMar>
          </w:tcPr>
          <w:p w14:paraId="63782337" w14:textId="77777777" w:rsidR="000D4733" w:rsidRDefault="005A6CD1">
            <w:r>
              <w:rPr>
                <w:color w:val="1A1A1A"/>
                <w:sz w:val="17"/>
                <w:szCs w:val="17"/>
              </w:rPr>
              <w:t xml:space="preserve">Strong normative agreement (9/11 yes: the standard should precede mandatory reporting) but clear feasibility pessimism (6/11 unlikely). This creates a policy paradox: if the standard is a prerequisite and is unlikely by 2027, then mandatory recyclability reporting is itself implausible by 2027. This implication should be surfaced explicitly in Round 3. Note: </w:t>
            </w:r>
            <w:proofErr w:type="gramStart"/>
            <w:r>
              <w:rPr>
                <w:color w:val="1A1A1A"/>
                <w:sz w:val="17"/>
                <w:szCs w:val="17"/>
              </w:rPr>
              <w:t>a</w:t>
            </w:r>
            <w:proofErr w:type="gramEnd"/>
            <w:r>
              <w:rPr>
                <w:color w:val="1A1A1A"/>
                <w:sz w:val="17"/>
                <w:szCs w:val="17"/>
              </w:rPr>
              <w:t xml:space="preserve"> Round 1 respondent actively sits on CEN TC248/WG39 - the exact working group tasked with developing this definition - and stated plainly they cannot produce a workable one.</w:t>
            </w:r>
          </w:p>
        </w:tc>
      </w:tr>
    </w:tbl>
    <w:p w14:paraId="7BFCB95D" w14:textId="77777777" w:rsidR="000D4733" w:rsidRDefault="000D4733"/>
    <w:p w14:paraId="2960122F" w14:textId="77777777" w:rsidR="000D4733" w:rsidRDefault="005A6CD1">
      <w:pPr>
        <w:spacing w:before="240" w:after="60"/>
      </w:pPr>
      <w:r>
        <w:rPr>
          <w:b/>
          <w:bCs/>
          <w:color w:val="5F5E5A"/>
          <w:sz w:val="18"/>
          <w:szCs w:val="18"/>
        </w:rPr>
        <w:t>Q3.2</w:t>
      </w:r>
    </w:p>
    <w:p w14:paraId="65A6500A" w14:textId="77777777" w:rsidR="000D4733" w:rsidRDefault="005A6CD1">
      <w:pPr>
        <w:spacing w:after="120"/>
      </w:pPr>
      <w:r>
        <w:rPr>
          <w:i/>
          <w:iCs/>
          <w:color w:val="1A1A1A"/>
        </w:rPr>
        <w:t xml:space="preserve">By 2027, most brands can include the detailed product data that recyclers </w:t>
      </w:r>
      <w:proofErr w:type="gramStart"/>
      <w:r>
        <w:rPr>
          <w:i/>
          <w:iCs/>
          <w:color w:val="1A1A1A"/>
        </w:rPr>
        <w:t>actually need</w:t>
      </w:r>
      <w:proofErr w:type="gramEnd"/>
      <w:r>
        <w:rPr>
          <w:i/>
          <w:iCs/>
          <w:color w:val="1A1A1A"/>
        </w:rPr>
        <w:t xml:space="preserve"> in the DPP - such as material composition, construction type, and which chemical treatments like dyes and finishes were used.</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55619D55"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8598DF6" w14:textId="77777777" w:rsidR="000D4733" w:rsidRDefault="005A6CD1">
            <w:pPr>
              <w:spacing w:after="40"/>
            </w:pPr>
            <w:r>
              <w:rPr>
                <w:color w:val="5F5E5A"/>
                <w:sz w:val="16"/>
                <w:szCs w:val="16"/>
              </w:rPr>
              <w:t>How feasible is this by 2027?</w:t>
            </w:r>
          </w:p>
          <w:p w14:paraId="5EA7F9A5" w14:textId="77777777" w:rsidR="000D4733" w:rsidRDefault="005A6CD1">
            <w:r>
              <w:rPr>
                <w:noProof/>
              </w:rPr>
              <w:drawing>
                <wp:inline distT="0" distB="0" distL="0" distR="0" wp14:anchorId="0F24ABA7" wp14:editId="0CD9EB5B">
                  <wp:extent cx="4067175" cy="1752600"/>
                  <wp:effectExtent l="0" t="0" r="0" b="0"/>
                  <wp:docPr id="1616564756" name="Picture 161656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6D2122A1"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B3A65B6" w14:textId="77777777" w:rsidR="000D4733" w:rsidRDefault="005A6CD1">
            <w:pPr>
              <w:spacing w:after="40"/>
            </w:pPr>
            <w:r>
              <w:rPr>
                <w:color w:val="5F5E5A"/>
                <w:sz w:val="16"/>
                <w:szCs w:val="16"/>
              </w:rPr>
              <w:t>Should this be required?</w:t>
            </w:r>
          </w:p>
          <w:p w14:paraId="7A5CCE41" w14:textId="77777777" w:rsidR="000D4733" w:rsidRDefault="005A6CD1">
            <w:r>
              <w:rPr>
                <w:noProof/>
              </w:rPr>
              <w:drawing>
                <wp:inline distT="0" distB="0" distL="0" distR="0" wp14:anchorId="1F26B2B0" wp14:editId="2AA1DF5B">
                  <wp:extent cx="2095500" cy="2095500"/>
                  <wp:effectExtent l="0" t="0" r="0" b="0"/>
                  <wp:docPr id="1788370838" name="Picture 178837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095500" cy="2095500"/>
                          </a:xfrm>
                          <a:prstGeom prst="rect">
                            <a:avLst/>
                          </a:prstGeom>
                        </pic:spPr>
                      </pic:pic>
                    </a:graphicData>
                  </a:graphic>
                </wp:inline>
              </w:drawing>
            </w:r>
          </w:p>
        </w:tc>
      </w:tr>
    </w:tbl>
    <w:p w14:paraId="1CDD9A2D"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00AF3070" w14:textId="77777777">
        <w:tblPrEx>
          <w:tblCellMar>
            <w:top w:w="0" w:type="dxa"/>
            <w:bottom w:w="0" w:type="dxa"/>
          </w:tblCellMar>
        </w:tblPrEx>
        <w:tc>
          <w:tcPr>
            <w:tcW w:w="9906" w:type="dxa"/>
            <w:tcBorders>
              <w:top w:val="single" w:sz="1" w:space="0" w:color="F1EFE8"/>
              <w:left w:val="thick" w:sz="12" w:space="0" w:color="5F5E5A"/>
              <w:bottom w:val="single" w:sz="1" w:space="0" w:color="F1EFE8"/>
              <w:right w:val="single" w:sz="1" w:space="0" w:color="F1EFE8"/>
            </w:tcBorders>
            <w:shd w:val="clear" w:color="auto" w:fill="F1EFE8"/>
            <w:tcMar>
              <w:top w:w="100" w:type="dxa"/>
              <w:left w:w="160" w:type="dxa"/>
              <w:bottom w:w="100" w:type="dxa"/>
              <w:right w:w="120" w:type="dxa"/>
            </w:tcMar>
          </w:tcPr>
          <w:p w14:paraId="7C707115" w14:textId="77777777" w:rsidR="000D4733" w:rsidRDefault="005A6CD1">
            <w:r>
              <w:rPr>
                <w:color w:val="1A1A1A"/>
                <w:sz w:val="17"/>
                <w:szCs w:val="17"/>
              </w:rPr>
              <w:t xml:space="preserve">Strong normative agreement (9/11) and a more optimistic feasibility picture than Q3.1 - the majority lean toward feasible. This creates a tension within Topic 3: the panel thinks the data itself is more achievable than the standard for assessing it. One open comment </w:t>
            </w:r>
            <w:proofErr w:type="gramStart"/>
            <w:r>
              <w:rPr>
                <w:color w:val="1A1A1A"/>
                <w:sz w:val="17"/>
                <w:szCs w:val="17"/>
              </w:rPr>
              <w:t>challenges</w:t>
            </w:r>
            <w:proofErr w:type="gramEnd"/>
            <w:r>
              <w:rPr>
                <w:color w:val="1A1A1A"/>
                <w:sz w:val="17"/>
                <w:szCs w:val="17"/>
              </w:rPr>
              <w:t xml:space="preserve"> the framing: "The DPP can only give transparency in the supply chain and help collect data - it will not help recycling itself." This mirrors the Round 1 position that recyclability indexes are only useful post-2030.</w:t>
            </w:r>
          </w:p>
        </w:tc>
      </w:tr>
    </w:tbl>
    <w:p w14:paraId="5BE1EB43" w14:textId="77777777" w:rsidR="000D4733" w:rsidRDefault="005A6CD1">
      <w:r>
        <w:br w:type="page"/>
      </w:r>
    </w:p>
    <w:p w14:paraId="050B5A7D" w14:textId="77777777" w:rsidR="000D4733" w:rsidRDefault="005A6CD1">
      <w:pPr>
        <w:spacing w:before="240" w:after="60"/>
      </w:pPr>
      <w:r>
        <w:rPr>
          <w:b/>
          <w:bCs/>
          <w:color w:val="5F5E5A"/>
          <w:sz w:val="18"/>
          <w:szCs w:val="18"/>
        </w:rPr>
        <w:lastRenderedPageBreak/>
        <w:t>Q3.4</w:t>
      </w:r>
    </w:p>
    <w:p w14:paraId="1F9B10A1" w14:textId="77777777" w:rsidR="000D4733" w:rsidRDefault="005A6CD1">
      <w:pPr>
        <w:spacing w:after="120"/>
      </w:pPr>
      <w:r>
        <w:rPr>
          <w:i/>
          <w:iCs/>
          <w:color w:val="1A1A1A"/>
        </w:rPr>
        <w:t xml:space="preserve">Without significant changes to how Producer Responsibility </w:t>
      </w:r>
      <w:proofErr w:type="spellStart"/>
      <w:r>
        <w:rPr>
          <w:i/>
          <w:iCs/>
          <w:color w:val="1A1A1A"/>
        </w:rPr>
        <w:t>Organisations</w:t>
      </w:r>
      <w:proofErr w:type="spellEnd"/>
      <w:r>
        <w:rPr>
          <w:i/>
          <w:iCs/>
          <w:color w:val="1A1A1A"/>
        </w:rPr>
        <w:t xml:space="preserve"> support the recycling sector economically, DPP recyclability requirements will have limited real-world impact on actual recycling rates.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7209CCE5"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AD9B234" w14:textId="77777777" w:rsidR="000D4733" w:rsidRDefault="005A6CD1">
            <w:pPr>
              <w:spacing w:after="40"/>
            </w:pPr>
            <w:r>
              <w:rPr>
                <w:color w:val="5F5E5A"/>
                <w:sz w:val="16"/>
                <w:szCs w:val="16"/>
              </w:rPr>
              <w:t>How feasible is this by 2027?</w:t>
            </w:r>
          </w:p>
          <w:p w14:paraId="2C9633D5" w14:textId="77777777" w:rsidR="000D4733" w:rsidRDefault="005A6CD1">
            <w:r>
              <w:rPr>
                <w:noProof/>
              </w:rPr>
              <w:drawing>
                <wp:inline distT="0" distB="0" distL="0" distR="0" wp14:anchorId="1F028299" wp14:editId="3E58E792">
                  <wp:extent cx="4067175" cy="2047875"/>
                  <wp:effectExtent l="0" t="0" r="0" b="0"/>
                  <wp:docPr id="1478466432" name="Picture 147846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4067175" cy="2047875"/>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194F3C09"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FBEEDF4" w14:textId="77777777" w:rsidR="000D4733" w:rsidRDefault="005A6CD1">
            <w:pPr>
              <w:spacing w:after="40"/>
            </w:pPr>
            <w:r>
              <w:rPr>
                <w:color w:val="5F5E5A"/>
                <w:sz w:val="16"/>
                <w:szCs w:val="16"/>
              </w:rPr>
              <w:t>Should PRO/EPR reform be a prerequisite?</w:t>
            </w:r>
          </w:p>
          <w:p w14:paraId="2ABB6476" w14:textId="77777777" w:rsidR="000D4733" w:rsidRDefault="005A6CD1">
            <w:r>
              <w:rPr>
                <w:noProof/>
              </w:rPr>
              <w:drawing>
                <wp:inline distT="0" distB="0" distL="0" distR="0" wp14:anchorId="73B8AA85" wp14:editId="0E72B265">
                  <wp:extent cx="2095500" cy="2095500"/>
                  <wp:effectExtent l="0" t="0" r="0" b="0"/>
                  <wp:docPr id="103970652" name="Picture 10397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0" cy="2095500"/>
                          </a:xfrm>
                          <a:prstGeom prst="rect">
                            <a:avLst/>
                          </a:prstGeom>
                        </pic:spPr>
                      </pic:pic>
                    </a:graphicData>
                  </a:graphic>
                </wp:inline>
              </w:drawing>
            </w:r>
          </w:p>
        </w:tc>
      </w:tr>
    </w:tbl>
    <w:p w14:paraId="7D0658B6"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7217B84B" w14:textId="77777777">
        <w:tblPrEx>
          <w:tblCellMar>
            <w:top w:w="0" w:type="dxa"/>
            <w:bottom w:w="0" w:type="dxa"/>
          </w:tblCellMar>
        </w:tblPrEx>
        <w:tc>
          <w:tcPr>
            <w:tcW w:w="9906" w:type="dxa"/>
            <w:tcBorders>
              <w:top w:val="single" w:sz="1" w:space="0" w:color="F1EFE8"/>
              <w:left w:val="thick" w:sz="12" w:space="0" w:color="5F5E5A"/>
              <w:bottom w:val="single" w:sz="1" w:space="0" w:color="F1EFE8"/>
              <w:right w:val="single" w:sz="1" w:space="0" w:color="F1EFE8"/>
            </w:tcBorders>
            <w:shd w:val="clear" w:color="auto" w:fill="F1EFE8"/>
            <w:tcMar>
              <w:top w:w="100" w:type="dxa"/>
              <w:left w:w="160" w:type="dxa"/>
              <w:bottom w:w="100" w:type="dxa"/>
              <w:right w:w="120" w:type="dxa"/>
            </w:tcMar>
          </w:tcPr>
          <w:p w14:paraId="77863121" w14:textId="77777777" w:rsidR="000D4733" w:rsidRDefault="005A6CD1">
            <w:r>
              <w:rPr>
                <w:color w:val="1A1A1A"/>
                <w:sz w:val="17"/>
                <w:szCs w:val="17"/>
              </w:rPr>
              <w:t>The most ambiguous statement in the dataset. Likelihood is dominated by "Uncertain" (7/11) - the panel does not feel equipped to call this. Normative agreement (8/11) is solid but the 3 "No" votes are distributed across groups (2 Supply Chain, 1 Technology &amp; Data), not a group-specific position. This statement came exclusively from the Industry Living Lab workshop, not from Round 1 questionnaire evidence - which may partly explain why the panel struggles to assess likelihood.</w:t>
            </w:r>
          </w:p>
        </w:tc>
      </w:tr>
    </w:tbl>
    <w:p w14:paraId="13061873" w14:textId="77777777" w:rsidR="000D4733" w:rsidRDefault="005A6CD1">
      <w:r>
        <w:br w:type="page"/>
      </w:r>
    </w:p>
    <w:p w14:paraId="6BE4A959" w14:textId="77777777" w:rsidR="000D4733" w:rsidRDefault="005A6CD1">
      <w:pPr>
        <w:pBdr>
          <w:bottom w:val="single" w:sz="6" w:space="4" w:color="185FA5"/>
        </w:pBdr>
        <w:spacing w:before="360" w:after="120"/>
      </w:pPr>
      <w:r>
        <w:rPr>
          <w:b/>
          <w:bCs/>
          <w:color w:val="185FA5"/>
          <w:sz w:val="16"/>
          <w:szCs w:val="16"/>
        </w:rPr>
        <w:lastRenderedPageBreak/>
        <w:t>TOPIC 4 - PACKAGING</w:t>
      </w:r>
    </w:p>
    <w:p w14:paraId="3E41B6AA" w14:textId="77777777" w:rsidR="000D4733" w:rsidRDefault="005A6CD1">
      <w:pPr>
        <w:spacing w:before="240" w:after="60"/>
      </w:pPr>
      <w:r>
        <w:rPr>
          <w:b/>
          <w:bCs/>
          <w:color w:val="5F5E5A"/>
          <w:sz w:val="18"/>
          <w:szCs w:val="18"/>
        </w:rPr>
        <w:t>Q4</w:t>
      </w:r>
    </w:p>
    <w:p w14:paraId="7A0970D8" w14:textId="77777777" w:rsidR="000D4733" w:rsidRDefault="005A6CD1">
      <w:pPr>
        <w:spacing w:after="120"/>
      </w:pPr>
      <w:r>
        <w:rPr>
          <w:i/>
          <w:iCs/>
          <w:color w:val="1A1A1A"/>
        </w:rPr>
        <w:t>Packaging data in the DPP should be structured as: [preference scale from fully separate to fully integrated]</w:t>
      </w:r>
    </w:p>
    <w:p w14:paraId="573B0D8C" w14:textId="77777777" w:rsidR="000D4733" w:rsidRDefault="005A6CD1">
      <w:pPr>
        <w:spacing w:before="80" w:after="40"/>
      </w:pPr>
      <w:r>
        <w:rPr>
          <w:color w:val="5F5E5A"/>
          <w:sz w:val="16"/>
          <w:szCs w:val="16"/>
        </w:rPr>
        <w:t>Structural preference (n=11)</w:t>
      </w:r>
    </w:p>
    <w:p w14:paraId="0F839019" w14:textId="77777777" w:rsidR="000D4733" w:rsidRDefault="005A6CD1">
      <w:r>
        <w:rPr>
          <w:noProof/>
        </w:rPr>
        <w:drawing>
          <wp:inline distT="0" distB="0" distL="0" distR="0" wp14:anchorId="61328CC1" wp14:editId="6B4EAD90">
            <wp:extent cx="6286500" cy="2981325"/>
            <wp:effectExtent l="0" t="0" r="0" b="0"/>
            <wp:docPr id="1043553818" name="Picture 104355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6286500" cy="2981325"/>
                    </a:xfrm>
                    <a:prstGeom prst="rect">
                      <a:avLst/>
                    </a:prstGeom>
                  </pic:spPr>
                </pic:pic>
              </a:graphicData>
            </a:graphic>
          </wp:inline>
        </w:drawing>
      </w:r>
    </w:p>
    <w:p w14:paraId="453BD990" w14:textId="77777777" w:rsidR="000D4733" w:rsidRDefault="000D4733">
      <w:pPr>
        <w:spacing w:line="160" w:lineRule="auto"/>
      </w:pPr>
    </w:p>
    <w:p w14:paraId="241631EC" w14:textId="77777777" w:rsidR="000D4733" w:rsidRDefault="005A6CD1">
      <w:pPr>
        <w:spacing w:before="80" w:after="40"/>
      </w:pPr>
      <w:r>
        <w:rPr>
          <w:color w:val="5F5E5A"/>
          <w:sz w:val="16"/>
          <w:szCs w:val="16"/>
        </w:rPr>
        <w:t>Should the EU mandate one specific approach?</w:t>
      </w:r>
    </w:p>
    <w:p w14:paraId="0285DE97" w14:textId="77777777" w:rsidR="000D4733" w:rsidRDefault="005A6CD1">
      <w:r>
        <w:rPr>
          <w:noProof/>
        </w:rPr>
        <w:drawing>
          <wp:inline distT="0" distB="0" distL="0" distR="0" wp14:anchorId="44656B44" wp14:editId="01D0F695">
            <wp:extent cx="2095500" cy="2095500"/>
            <wp:effectExtent l="0" t="0" r="0" b="0"/>
            <wp:docPr id="1023030746" name="Picture 1023030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095500" cy="2095500"/>
                    </a:xfrm>
                    <a:prstGeom prst="rect">
                      <a:avLst/>
                    </a:prstGeom>
                  </pic:spPr>
                </pic:pic>
              </a:graphicData>
            </a:graphic>
          </wp:inline>
        </w:drawing>
      </w:r>
    </w:p>
    <w:p w14:paraId="64B8EEA4" w14:textId="77777777" w:rsidR="000D4733" w:rsidRDefault="000D4733">
      <w:pPr>
        <w:spacing w:line="12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37646AAC" w14:textId="77777777">
        <w:tblPrEx>
          <w:tblCellMar>
            <w:top w:w="0" w:type="dxa"/>
            <w:bottom w:w="0" w:type="dxa"/>
          </w:tblCellMar>
        </w:tblPrEx>
        <w:tc>
          <w:tcPr>
            <w:tcW w:w="9906" w:type="dxa"/>
            <w:tcBorders>
              <w:top w:val="single" w:sz="1" w:space="0" w:color="FCEBEB"/>
              <w:left w:val="thick" w:sz="12" w:space="0" w:color="A32D2D"/>
              <w:bottom w:val="single" w:sz="1" w:space="0" w:color="FCEBEB"/>
              <w:right w:val="single" w:sz="1" w:space="0" w:color="FCEBEB"/>
            </w:tcBorders>
            <w:shd w:val="clear" w:color="auto" w:fill="FCEBEB"/>
            <w:tcMar>
              <w:top w:w="100" w:type="dxa"/>
              <w:left w:w="160" w:type="dxa"/>
              <w:bottom w:w="100" w:type="dxa"/>
              <w:right w:w="120" w:type="dxa"/>
            </w:tcMar>
          </w:tcPr>
          <w:p w14:paraId="25A7F4BB" w14:textId="77777777" w:rsidR="000D4733" w:rsidRDefault="005A6CD1">
            <w:r>
              <w:rPr>
                <w:color w:val="1A1A1A"/>
                <w:sz w:val="17"/>
                <w:szCs w:val="17"/>
              </w:rPr>
              <w:t>Strong agreement to mandate (9/11) but votes spread across all five structural options - no option exceeds 4 respondents. The Round 1 baseline was clear: strong consensus for keeping packaging data separate from product data. Round 2 produces fragmentation, including 1 vote for "fully integrated" - the option most inconsistent with Round 1. The mandate vote obscures genuine disagreement about what to mandate. Round 3 must test the two leading options (fully separate vs. clearly distinct section) head-to-hea</w:t>
            </w:r>
            <w:r>
              <w:rPr>
                <w:color w:val="1A1A1A"/>
                <w:sz w:val="17"/>
                <w:szCs w:val="17"/>
              </w:rPr>
              <w:t>d.</w:t>
            </w:r>
          </w:p>
        </w:tc>
      </w:tr>
    </w:tbl>
    <w:p w14:paraId="225D1FEE" w14:textId="77777777" w:rsidR="000D4733" w:rsidRDefault="005A6CD1">
      <w:r>
        <w:br w:type="page"/>
      </w:r>
    </w:p>
    <w:p w14:paraId="699E9FF6" w14:textId="77777777" w:rsidR="000D4733" w:rsidRDefault="005A6CD1">
      <w:pPr>
        <w:pBdr>
          <w:bottom w:val="single" w:sz="6" w:space="4" w:color="185FA5"/>
        </w:pBdr>
        <w:spacing w:before="360" w:after="120"/>
      </w:pPr>
      <w:r>
        <w:rPr>
          <w:b/>
          <w:bCs/>
          <w:color w:val="185FA5"/>
          <w:sz w:val="16"/>
          <w:szCs w:val="16"/>
        </w:rPr>
        <w:lastRenderedPageBreak/>
        <w:t>TOPIC 5 - ENVIRONMENTAL FOOTPRINT</w:t>
      </w:r>
    </w:p>
    <w:p w14:paraId="056B8A8B" w14:textId="77777777" w:rsidR="000D4733" w:rsidRDefault="005A6CD1">
      <w:pPr>
        <w:spacing w:before="240" w:after="60"/>
      </w:pPr>
      <w:r>
        <w:rPr>
          <w:b/>
          <w:bCs/>
          <w:color w:val="5F5E5A"/>
          <w:sz w:val="18"/>
          <w:szCs w:val="18"/>
        </w:rPr>
        <w:t>Q5.1</w:t>
      </w:r>
    </w:p>
    <w:p w14:paraId="09AEB8BD" w14:textId="77777777" w:rsidR="000D4733" w:rsidRDefault="005A6CD1">
      <w:pPr>
        <w:spacing w:after="120"/>
      </w:pPr>
      <w:r>
        <w:rPr>
          <w:i/>
          <w:iCs/>
          <w:color w:val="1A1A1A"/>
        </w:rPr>
        <w:t>For the DPP, reporting which country or region each main production step took place in is more useful - and more achievable by 2027 - than collecting exact transport distances between those steps.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679739E1"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EF1CDA8" w14:textId="77777777" w:rsidR="000D4733" w:rsidRDefault="005A6CD1">
            <w:pPr>
              <w:spacing w:after="40"/>
            </w:pPr>
            <w:r>
              <w:rPr>
                <w:color w:val="5F5E5A"/>
                <w:sz w:val="16"/>
                <w:szCs w:val="16"/>
              </w:rPr>
              <w:t>How feasible is this by 2027?</w:t>
            </w:r>
          </w:p>
          <w:p w14:paraId="6D6B52D6" w14:textId="77777777" w:rsidR="000D4733" w:rsidRDefault="005A6CD1">
            <w:r>
              <w:rPr>
                <w:noProof/>
              </w:rPr>
              <w:drawing>
                <wp:inline distT="0" distB="0" distL="0" distR="0" wp14:anchorId="489074AA" wp14:editId="68D882FC">
                  <wp:extent cx="4067175" cy="1752600"/>
                  <wp:effectExtent l="0" t="0" r="0" b="0"/>
                  <wp:docPr id="359965698" name="Picture 35996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4955CD68"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BB5FDBF" w14:textId="77777777" w:rsidR="000D4733" w:rsidRDefault="005A6CD1">
            <w:pPr>
              <w:spacing w:after="40"/>
            </w:pPr>
            <w:r>
              <w:rPr>
                <w:color w:val="5F5E5A"/>
                <w:sz w:val="16"/>
                <w:szCs w:val="16"/>
              </w:rPr>
              <w:t>Should this be required?</w:t>
            </w:r>
          </w:p>
          <w:p w14:paraId="0FD488F8" w14:textId="77777777" w:rsidR="000D4733" w:rsidRDefault="005A6CD1">
            <w:r>
              <w:rPr>
                <w:noProof/>
              </w:rPr>
              <w:drawing>
                <wp:inline distT="0" distB="0" distL="0" distR="0" wp14:anchorId="5525FD99" wp14:editId="2D7EC0AF">
                  <wp:extent cx="2095500" cy="2095500"/>
                  <wp:effectExtent l="0" t="0" r="0" b="0"/>
                  <wp:docPr id="841879821" name="Picture 84187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095500" cy="2095500"/>
                          </a:xfrm>
                          <a:prstGeom prst="rect">
                            <a:avLst/>
                          </a:prstGeom>
                        </pic:spPr>
                      </pic:pic>
                    </a:graphicData>
                  </a:graphic>
                </wp:inline>
              </w:drawing>
            </w:r>
          </w:p>
        </w:tc>
      </w:tr>
    </w:tbl>
    <w:p w14:paraId="2F9457E3"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3750C7D2" w14:textId="77777777">
        <w:tblPrEx>
          <w:tblCellMar>
            <w:top w:w="0" w:type="dxa"/>
            <w:bottom w:w="0" w:type="dxa"/>
          </w:tblCellMar>
        </w:tblPrEx>
        <w:tc>
          <w:tcPr>
            <w:tcW w:w="9906" w:type="dxa"/>
            <w:tcBorders>
              <w:top w:val="single" w:sz="1" w:space="0" w:color="EAF3DE"/>
              <w:left w:val="thick" w:sz="12" w:space="0" w:color="3B6D11"/>
              <w:bottom w:val="single" w:sz="1" w:space="0" w:color="EAF3DE"/>
              <w:right w:val="single" w:sz="1" w:space="0" w:color="EAF3DE"/>
            </w:tcBorders>
            <w:shd w:val="clear" w:color="auto" w:fill="EAF3DE"/>
            <w:tcMar>
              <w:top w:w="100" w:type="dxa"/>
              <w:left w:w="160" w:type="dxa"/>
              <w:bottom w:w="100" w:type="dxa"/>
              <w:right w:w="120" w:type="dxa"/>
            </w:tcMar>
          </w:tcPr>
          <w:p w14:paraId="68FC6F90" w14:textId="77777777" w:rsidR="000D4733" w:rsidRDefault="005A6CD1">
            <w:r>
              <w:rPr>
                <w:color w:val="1A1A1A"/>
                <w:sz w:val="17"/>
                <w:szCs w:val="17"/>
              </w:rPr>
              <w:t>The strongest feasibility finding in the dataset - 9/11 say likely or fully feasible. Combined with 9/11 saying it should be required, this approaches consensus. Consistent with Round 1 near-consensus: location data matters more than transport distance because country energy mixes drive carbon impact more than distance. One open comment locates responsibility with brands and suppliers rather than the DPP system.</w:t>
            </w:r>
          </w:p>
        </w:tc>
      </w:tr>
    </w:tbl>
    <w:p w14:paraId="310E9B55" w14:textId="77777777" w:rsidR="000D4733" w:rsidRDefault="000D4733"/>
    <w:p w14:paraId="1869CFC4" w14:textId="77777777" w:rsidR="000D4733" w:rsidRDefault="005A6CD1">
      <w:pPr>
        <w:spacing w:before="240" w:after="60"/>
      </w:pPr>
      <w:r>
        <w:rPr>
          <w:b/>
          <w:bCs/>
          <w:color w:val="5F5E5A"/>
          <w:sz w:val="18"/>
          <w:szCs w:val="18"/>
        </w:rPr>
        <w:t>Q5.2</w:t>
      </w:r>
    </w:p>
    <w:p w14:paraId="2E545B69" w14:textId="77777777" w:rsidR="000D4733" w:rsidRDefault="005A6CD1">
      <w:pPr>
        <w:spacing w:after="120"/>
      </w:pPr>
      <w:r>
        <w:rPr>
          <w:i/>
          <w:iCs/>
          <w:color w:val="1A1A1A"/>
        </w:rPr>
        <w:t>Using estimated or average transport data - with clearly stated assumptions, and even when transport routes vary between production batches - is sufficient to meet the ESPR environmental footprint requirements for textiles by 2027.</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5"/>
        <w:gridCol w:w="195"/>
        <w:gridCol w:w="3306"/>
      </w:tblGrid>
      <w:tr w:rsidR="000D4733" w14:paraId="76DF333B" w14:textId="77777777">
        <w:tblPrEx>
          <w:tblCellMar>
            <w:top w:w="0" w:type="dxa"/>
            <w:bottom w:w="0" w:type="dxa"/>
          </w:tblCellMar>
        </w:tblPrEx>
        <w:tc>
          <w:tcPr>
            <w:tcW w:w="6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5439060" w14:textId="77777777" w:rsidR="000D4733" w:rsidRDefault="005A6CD1">
            <w:pPr>
              <w:spacing w:after="40"/>
            </w:pPr>
            <w:r>
              <w:rPr>
                <w:color w:val="5F5E5A"/>
                <w:sz w:val="16"/>
                <w:szCs w:val="16"/>
              </w:rPr>
              <w:t>How feasible is this by 2027?</w:t>
            </w:r>
          </w:p>
          <w:p w14:paraId="3C06ACC9" w14:textId="77777777" w:rsidR="000D4733" w:rsidRDefault="005A6CD1">
            <w:r>
              <w:rPr>
                <w:noProof/>
              </w:rPr>
              <w:drawing>
                <wp:inline distT="0" distB="0" distL="0" distR="0" wp14:anchorId="72B2B4D7" wp14:editId="4CD08FF2">
                  <wp:extent cx="4067175" cy="1752600"/>
                  <wp:effectExtent l="0" t="0" r="0" b="0"/>
                  <wp:docPr id="445694604" name="Picture 44569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4067175" cy="1752600"/>
                          </a:xfrm>
                          <a:prstGeom prst="rect">
                            <a:avLst/>
                          </a:prstGeom>
                        </pic:spPr>
                      </pic:pic>
                    </a:graphicData>
                  </a:graphic>
                </wp:inline>
              </w:drawing>
            </w:r>
          </w:p>
        </w:tc>
        <w:tc>
          <w:tcPr>
            <w:tcW w:w="200" w:type="dxa"/>
            <w:tcBorders>
              <w:top w:val="none" w:sz="0" w:space="0" w:color="FFFFFF"/>
              <w:left w:val="none" w:sz="0" w:space="0" w:color="FFFFFF"/>
              <w:bottom w:val="none" w:sz="0" w:space="0" w:color="FFFFFF"/>
              <w:right w:val="none" w:sz="0" w:space="0" w:color="FFFFFF"/>
            </w:tcBorders>
          </w:tcPr>
          <w:p w14:paraId="671F62E0" w14:textId="77777777" w:rsidR="000D4733" w:rsidRDefault="000D4733"/>
        </w:tc>
        <w:tc>
          <w:tcPr>
            <w:tcW w:w="33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A210CA2" w14:textId="77777777" w:rsidR="000D4733" w:rsidRDefault="005A6CD1">
            <w:pPr>
              <w:spacing w:after="40"/>
            </w:pPr>
            <w:r>
              <w:rPr>
                <w:color w:val="5F5E5A"/>
                <w:sz w:val="16"/>
                <w:szCs w:val="16"/>
              </w:rPr>
              <w:t>Should this be accepted under the DPP?</w:t>
            </w:r>
          </w:p>
          <w:p w14:paraId="20EE73DA" w14:textId="77777777" w:rsidR="000D4733" w:rsidRDefault="005A6CD1">
            <w:r>
              <w:rPr>
                <w:noProof/>
              </w:rPr>
              <w:drawing>
                <wp:inline distT="0" distB="0" distL="0" distR="0" wp14:anchorId="782F09B5" wp14:editId="3F9459F1">
                  <wp:extent cx="2095500" cy="2095500"/>
                  <wp:effectExtent l="0" t="0" r="0" b="0"/>
                  <wp:docPr id="865185347" name="Picture 86518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0" cy="2095500"/>
                          </a:xfrm>
                          <a:prstGeom prst="rect">
                            <a:avLst/>
                          </a:prstGeom>
                        </pic:spPr>
                      </pic:pic>
                    </a:graphicData>
                  </a:graphic>
                </wp:inline>
              </w:drawing>
            </w:r>
          </w:p>
        </w:tc>
      </w:tr>
    </w:tbl>
    <w:p w14:paraId="6BBD51BF" w14:textId="77777777" w:rsidR="000D4733" w:rsidRDefault="000D4733">
      <w:pPr>
        <w:spacing w:line="80" w:lineRule="auto"/>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0D4733" w14:paraId="6FB2EC9A" w14:textId="77777777">
        <w:tblPrEx>
          <w:tblCellMar>
            <w:top w:w="0" w:type="dxa"/>
            <w:bottom w:w="0" w:type="dxa"/>
          </w:tblCellMar>
        </w:tblPrEx>
        <w:tc>
          <w:tcPr>
            <w:tcW w:w="9906" w:type="dxa"/>
            <w:tcBorders>
              <w:top w:val="single" w:sz="1" w:space="0" w:color="F1EFE8"/>
              <w:left w:val="thick" w:sz="12" w:space="0" w:color="5F5E5A"/>
              <w:bottom w:val="single" w:sz="1" w:space="0" w:color="F1EFE8"/>
              <w:right w:val="single" w:sz="1" w:space="0" w:color="F1EFE8"/>
            </w:tcBorders>
            <w:shd w:val="clear" w:color="auto" w:fill="F1EFE8"/>
            <w:tcMar>
              <w:top w:w="100" w:type="dxa"/>
              <w:left w:w="160" w:type="dxa"/>
              <w:bottom w:w="100" w:type="dxa"/>
              <w:right w:w="120" w:type="dxa"/>
            </w:tcMar>
          </w:tcPr>
          <w:p w14:paraId="58F5FB34" w14:textId="77777777" w:rsidR="000D4733" w:rsidRDefault="005A6CD1">
            <w:r>
              <w:rPr>
                <w:color w:val="1A1A1A"/>
                <w:sz w:val="17"/>
                <w:szCs w:val="17"/>
              </w:rPr>
              <w:t xml:space="preserve">Majority in </w:t>
            </w:r>
            <w:proofErr w:type="spellStart"/>
            <w:r>
              <w:rPr>
                <w:color w:val="1A1A1A"/>
                <w:sz w:val="17"/>
                <w:szCs w:val="17"/>
              </w:rPr>
              <w:t>favour</w:t>
            </w:r>
            <w:proofErr w:type="spellEnd"/>
            <w:r>
              <w:rPr>
                <w:color w:val="1A1A1A"/>
                <w:sz w:val="17"/>
                <w:szCs w:val="17"/>
              </w:rPr>
              <w:t xml:space="preserve"> (8/11) with a positive feasibility picture. The 3 "No" votes are distributed across groups - not a group-specific objection. The "should this be accepted" phrasing was deliberate: this is a legitimacy question, not a capability question. Whether approximate data satisfies the ESPR's requirement for "accurate" environmental footprint data remains legally unresolved.</w:t>
            </w:r>
          </w:p>
        </w:tc>
      </w:tr>
    </w:tbl>
    <w:p w14:paraId="3E2BD3AB" w14:textId="77777777" w:rsidR="000D4733" w:rsidRDefault="005A6CD1">
      <w:r>
        <w:br w:type="page"/>
      </w:r>
    </w:p>
    <w:p w14:paraId="32642D66" w14:textId="77777777" w:rsidR="000D4733" w:rsidRDefault="005A6CD1">
      <w:pPr>
        <w:pBdr>
          <w:bottom w:val="single" w:sz="6" w:space="4" w:color="185FA5"/>
        </w:pBdr>
        <w:spacing w:before="360" w:after="120"/>
      </w:pPr>
      <w:r>
        <w:rPr>
          <w:b/>
          <w:bCs/>
          <w:color w:val="185FA5"/>
          <w:sz w:val="16"/>
          <w:szCs w:val="16"/>
        </w:rPr>
        <w:lastRenderedPageBreak/>
        <w:t>SUMMARY - FINDINGS BY TYPE</w:t>
      </w:r>
    </w:p>
    <w:p w14:paraId="482E7992" w14:textId="77777777" w:rsidR="000D4733" w:rsidRDefault="005A6CD1">
      <w:pPr>
        <w:spacing w:before="80" w:after="140"/>
      </w:pPr>
      <w:r>
        <w:rPr>
          <w:color w:val="1A1A1A"/>
          <w:sz w:val="18"/>
          <w:szCs w:val="18"/>
        </w:rPr>
        <w:t>Across 12 statements and 11 respondents, three distinct patterns emerge.</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2"/>
        <w:gridCol w:w="3302"/>
        <w:gridCol w:w="3302"/>
      </w:tblGrid>
      <w:tr w:rsidR="000D4733" w14:paraId="5BC68337" w14:textId="77777777">
        <w:tblPrEx>
          <w:tblCellMar>
            <w:top w:w="0" w:type="dxa"/>
            <w:bottom w:w="0" w:type="dxa"/>
          </w:tblCellMar>
        </w:tblPrEx>
        <w:tc>
          <w:tcPr>
            <w:tcW w:w="3302" w:type="dxa"/>
            <w:tcBorders>
              <w:top w:val="single" w:sz="1" w:space="0" w:color="D3D1C7"/>
              <w:left w:val="single" w:sz="1" w:space="0" w:color="D3D1C7"/>
              <w:bottom w:val="single" w:sz="1" w:space="0" w:color="D3D1C7"/>
              <w:right w:val="single" w:sz="1" w:space="0" w:color="D3D1C7"/>
            </w:tcBorders>
            <w:shd w:val="clear" w:color="auto" w:fill="EAF3DE"/>
            <w:tcMar>
              <w:top w:w="100" w:type="dxa"/>
              <w:left w:w="120" w:type="dxa"/>
              <w:bottom w:w="100" w:type="dxa"/>
              <w:right w:w="120" w:type="dxa"/>
            </w:tcMar>
          </w:tcPr>
          <w:p w14:paraId="39FAB5DF" w14:textId="77777777" w:rsidR="000D4733" w:rsidRDefault="005A6CD1">
            <w:r>
              <w:rPr>
                <w:b/>
                <w:bCs/>
                <w:color w:val="3B6D11"/>
                <w:sz w:val="17"/>
                <w:szCs w:val="17"/>
              </w:rPr>
              <w:t>Near-consensus</w:t>
            </w:r>
          </w:p>
        </w:tc>
        <w:tc>
          <w:tcPr>
            <w:tcW w:w="3302" w:type="dxa"/>
            <w:tcBorders>
              <w:top w:val="single" w:sz="1" w:space="0" w:color="D3D1C7"/>
              <w:left w:val="single" w:sz="1" w:space="0" w:color="D3D1C7"/>
              <w:bottom w:val="single" w:sz="1" w:space="0" w:color="D3D1C7"/>
              <w:right w:val="single" w:sz="1" w:space="0" w:color="D3D1C7"/>
            </w:tcBorders>
            <w:shd w:val="clear" w:color="auto" w:fill="FDF3E3"/>
            <w:tcMar>
              <w:top w:w="100" w:type="dxa"/>
              <w:left w:w="120" w:type="dxa"/>
              <w:bottom w:w="100" w:type="dxa"/>
              <w:right w:w="120" w:type="dxa"/>
            </w:tcMar>
          </w:tcPr>
          <w:p w14:paraId="62201210" w14:textId="77777777" w:rsidR="000D4733" w:rsidRDefault="005A6CD1">
            <w:r>
              <w:rPr>
                <w:b/>
                <w:bCs/>
                <w:color w:val="854F0B"/>
                <w:sz w:val="17"/>
                <w:szCs w:val="17"/>
              </w:rPr>
              <w:t>Normative agreement + feasibility doubt</w:t>
            </w:r>
          </w:p>
        </w:tc>
        <w:tc>
          <w:tcPr>
            <w:tcW w:w="3302" w:type="dxa"/>
            <w:tcBorders>
              <w:top w:val="single" w:sz="1" w:space="0" w:color="D3D1C7"/>
              <w:left w:val="single" w:sz="1" w:space="0" w:color="D3D1C7"/>
              <w:bottom w:val="single" w:sz="1" w:space="0" w:color="D3D1C7"/>
              <w:right w:val="single" w:sz="1" w:space="0" w:color="D3D1C7"/>
            </w:tcBorders>
            <w:shd w:val="clear" w:color="auto" w:fill="FCEBEB"/>
            <w:tcMar>
              <w:top w:w="100" w:type="dxa"/>
              <w:left w:w="120" w:type="dxa"/>
              <w:bottom w:w="100" w:type="dxa"/>
              <w:right w:w="120" w:type="dxa"/>
            </w:tcMar>
          </w:tcPr>
          <w:p w14:paraId="0361D8CB" w14:textId="77777777" w:rsidR="000D4733" w:rsidRDefault="005A6CD1">
            <w:r>
              <w:rPr>
                <w:b/>
                <w:bCs/>
                <w:color w:val="A32D2D"/>
                <w:sz w:val="17"/>
                <w:szCs w:val="17"/>
              </w:rPr>
              <w:t>Genuinely contested</w:t>
            </w:r>
          </w:p>
        </w:tc>
      </w:tr>
      <w:tr w:rsidR="000D4733" w14:paraId="662D13C9" w14:textId="77777777">
        <w:tblPrEx>
          <w:tblCellMar>
            <w:top w:w="0" w:type="dxa"/>
            <w:bottom w:w="0" w:type="dxa"/>
          </w:tblCellMar>
        </w:tblPrEx>
        <w:tc>
          <w:tcPr>
            <w:tcW w:w="3302" w:type="dxa"/>
            <w:tcBorders>
              <w:top w:val="single" w:sz="1" w:space="0" w:color="D3D1C7"/>
              <w:left w:val="single" w:sz="1" w:space="0" w:color="D3D1C7"/>
              <w:bottom w:val="single" w:sz="1" w:space="0" w:color="D3D1C7"/>
              <w:right w:val="single" w:sz="1" w:space="0" w:color="D3D1C7"/>
            </w:tcBorders>
            <w:shd w:val="clear" w:color="auto" w:fill="EAF3DE"/>
            <w:tcMar>
              <w:top w:w="80" w:type="dxa"/>
              <w:left w:w="120" w:type="dxa"/>
              <w:bottom w:w="80" w:type="dxa"/>
              <w:right w:w="120" w:type="dxa"/>
            </w:tcMar>
          </w:tcPr>
          <w:p w14:paraId="69A4B9E8" w14:textId="77777777" w:rsidR="000D4733" w:rsidRDefault="005A6CD1">
            <w:r>
              <w:rPr>
                <w:color w:val="1A1A1A"/>
                <w:sz w:val="16"/>
                <w:szCs w:val="16"/>
              </w:rPr>
              <w:t>Q5.1 - location data over transport distance (9/11 yes, strong positive feasibility)</w:t>
            </w:r>
          </w:p>
        </w:tc>
        <w:tc>
          <w:tcPr>
            <w:tcW w:w="3302" w:type="dxa"/>
            <w:tcBorders>
              <w:top w:val="single" w:sz="1" w:space="0" w:color="D3D1C7"/>
              <w:left w:val="single" w:sz="1" w:space="0" w:color="D3D1C7"/>
              <w:bottom w:val="single" w:sz="1" w:space="0" w:color="D3D1C7"/>
              <w:right w:val="single" w:sz="1" w:space="0" w:color="D3D1C7"/>
            </w:tcBorders>
            <w:shd w:val="clear" w:color="auto" w:fill="FDF3E3"/>
            <w:tcMar>
              <w:top w:w="80" w:type="dxa"/>
              <w:left w:w="120" w:type="dxa"/>
              <w:bottom w:w="80" w:type="dxa"/>
              <w:right w:w="120" w:type="dxa"/>
            </w:tcMar>
          </w:tcPr>
          <w:p w14:paraId="6F7CECD1" w14:textId="77777777" w:rsidR="000D4733" w:rsidRDefault="005A6CD1">
            <w:r>
              <w:rPr>
                <w:color w:val="1A1A1A"/>
                <w:sz w:val="16"/>
                <w:szCs w:val="16"/>
              </w:rPr>
              <w:t xml:space="preserve">Q1.1, Q2.2, Q3.1, Q2.4 - unanimous or near-unanimous "should happen" but majority doubts the 2027 </w:t>
            </w:r>
            <w:proofErr w:type="gramStart"/>
            <w:r>
              <w:rPr>
                <w:color w:val="1A1A1A"/>
                <w:sz w:val="16"/>
                <w:szCs w:val="16"/>
              </w:rPr>
              <w:t>timeline  Q3.4</w:t>
            </w:r>
            <w:proofErr w:type="gramEnd"/>
            <w:r>
              <w:rPr>
                <w:color w:val="1A1A1A"/>
                <w:sz w:val="16"/>
                <w:szCs w:val="16"/>
              </w:rPr>
              <w:t>, Q3.2, Q5.2 - solid majority with moderate feasibility uncertainty</w:t>
            </w:r>
          </w:p>
        </w:tc>
        <w:tc>
          <w:tcPr>
            <w:tcW w:w="3302" w:type="dxa"/>
            <w:tcBorders>
              <w:top w:val="single" w:sz="1" w:space="0" w:color="D3D1C7"/>
              <w:left w:val="single" w:sz="1" w:space="0" w:color="D3D1C7"/>
              <w:bottom w:val="single" w:sz="1" w:space="0" w:color="D3D1C7"/>
              <w:right w:val="single" w:sz="1" w:space="0" w:color="D3D1C7"/>
            </w:tcBorders>
            <w:shd w:val="clear" w:color="auto" w:fill="FCEBEB"/>
            <w:tcMar>
              <w:top w:w="80" w:type="dxa"/>
              <w:left w:w="120" w:type="dxa"/>
              <w:bottom w:w="80" w:type="dxa"/>
              <w:right w:w="120" w:type="dxa"/>
            </w:tcMar>
          </w:tcPr>
          <w:p w14:paraId="26961194" w14:textId="77777777" w:rsidR="000D4733" w:rsidRDefault="005A6CD1">
            <w:r>
              <w:rPr>
                <w:color w:val="1A1A1A"/>
                <w:sz w:val="16"/>
                <w:szCs w:val="16"/>
              </w:rPr>
              <w:t xml:space="preserve">Q1.2 - 6/5 normative split; nobody finds it </w:t>
            </w:r>
            <w:proofErr w:type="gramStart"/>
            <w:r>
              <w:rPr>
                <w:color w:val="1A1A1A"/>
                <w:sz w:val="16"/>
                <w:szCs w:val="16"/>
              </w:rPr>
              <w:t>feasible  Q1.3</w:t>
            </w:r>
            <w:proofErr w:type="gramEnd"/>
            <w:r>
              <w:rPr>
                <w:color w:val="1A1A1A"/>
                <w:sz w:val="16"/>
                <w:szCs w:val="16"/>
              </w:rPr>
              <w:t xml:space="preserve"> - majority wants mandatory verification but governance scattered across four </w:t>
            </w:r>
            <w:proofErr w:type="gramStart"/>
            <w:r>
              <w:rPr>
                <w:color w:val="1A1A1A"/>
                <w:sz w:val="16"/>
                <w:szCs w:val="16"/>
              </w:rPr>
              <w:t>bodies  Q</w:t>
            </w:r>
            <w:proofErr w:type="gramEnd"/>
            <w:r>
              <w:rPr>
                <w:color w:val="1A1A1A"/>
                <w:sz w:val="16"/>
                <w:szCs w:val="16"/>
              </w:rPr>
              <w:t>4 - 9/11 want EU to mandate, votes spread across all five options</w:t>
            </w:r>
          </w:p>
        </w:tc>
      </w:tr>
    </w:tbl>
    <w:p w14:paraId="6A5CE89F" w14:textId="77777777" w:rsidR="000D4733" w:rsidRDefault="000D4733"/>
    <w:p w14:paraId="09551D77" w14:textId="77777777" w:rsidR="000D4733" w:rsidRDefault="005A6CD1">
      <w:pPr>
        <w:pBdr>
          <w:bottom w:val="single" w:sz="6" w:space="4" w:color="185FA5"/>
        </w:pBdr>
        <w:spacing w:before="360" w:after="120"/>
      </w:pPr>
      <w:r>
        <w:rPr>
          <w:b/>
          <w:bCs/>
          <w:color w:val="185FA5"/>
          <w:sz w:val="16"/>
          <w:szCs w:val="16"/>
        </w:rPr>
        <w:t>KEY TENSIONS FOR ROUND 3</w:t>
      </w:r>
    </w:p>
    <w:p w14:paraId="215821D1" w14:textId="77777777" w:rsidR="000D4733" w:rsidRDefault="005A6CD1">
      <w:pPr>
        <w:spacing w:before="120" w:after="40"/>
      </w:pPr>
      <w:r>
        <w:rPr>
          <w:b/>
          <w:bCs/>
          <w:color w:val="1A1A1A"/>
          <w:sz w:val="18"/>
          <w:szCs w:val="18"/>
        </w:rPr>
        <w:t>1.  Normative agreement vs. feasibility pessimism</w:t>
      </w:r>
    </w:p>
    <w:p w14:paraId="4D16229F" w14:textId="77777777" w:rsidR="000D4733" w:rsidRDefault="005A6CD1">
      <w:pPr>
        <w:spacing w:after="100"/>
      </w:pPr>
      <w:r>
        <w:rPr>
          <w:color w:val="5F5E5A"/>
          <w:sz w:val="18"/>
          <w:szCs w:val="18"/>
        </w:rPr>
        <w:t>Across Q1.1, Q1.3, Q2.2, and Q3.1, the panel says "yes it should happen" but simultaneously doubts it can happen by 2027. Round 3 must address this directly: does the panel want these phased in after 2027, and if so, what are the preconditions?</w:t>
      </w:r>
    </w:p>
    <w:p w14:paraId="653B037A" w14:textId="77777777" w:rsidR="000D4733" w:rsidRDefault="005A6CD1">
      <w:pPr>
        <w:spacing w:before="60" w:after="40"/>
      </w:pPr>
      <w:r>
        <w:rPr>
          <w:b/>
          <w:bCs/>
          <w:color w:val="1A1A1A"/>
          <w:sz w:val="18"/>
          <w:szCs w:val="18"/>
        </w:rPr>
        <w:t>2.  Chemical safety data (Q1.2) - the contested outlier</w:t>
      </w:r>
    </w:p>
    <w:p w14:paraId="240157BB" w14:textId="77777777" w:rsidR="000D4733" w:rsidRDefault="005A6CD1">
      <w:pPr>
        <w:spacing w:after="100"/>
      </w:pPr>
      <w:r>
        <w:rPr>
          <w:color w:val="5F5E5A"/>
          <w:sz w:val="18"/>
          <w:szCs w:val="18"/>
        </w:rPr>
        <w:t>The only statement without majority normative agreement. No respondent finds it feasible. Round 3 should confront the distinction between "not required yet" (no test method exists) and "not required at all."</w:t>
      </w:r>
    </w:p>
    <w:p w14:paraId="628F76CD" w14:textId="77777777" w:rsidR="000D4733" w:rsidRDefault="005A6CD1">
      <w:pPr>
        <w:spacing w:before="60" w:after="40"/>
      </w:pPr>
      <w:r>
        <w:rPr>
          <w:b/>
          <w:bCs/>
          <w:color w:val="1A1A1A"/>
          <w:sz w:val="18"/>
          <w:szCs w:val="18"/>
        </w:rPr>
        <w:t>3.  Governance disputes on verification and standards</w:t>
      </w:r>
    </w:p>
    <w:p w14:paraId="34CD7675" w14:textId="77777777" w:rsidR="000D4733" w:rsidRDefault="005A6CD1">
      <w:pPr>
        <w:spacing w:after="100"/>
      </w:pPr>
      <w:r>
        <w:rPr>
          <w:color w:val="5F5E5A"/>
          <w:sz w:val="18"/>
          <w:szCs w:val="18"/>
        </w:rPr>
        <w:t>Q1.3 and Q2.2 show no dominant governance view. Round 3 should present the vote distribution for each governance option and ask respondents to reconsider.</w:t>
      </w:r>
    </w:p>
    <w:p w14:paraId="49463421" w14:textId="77777777" w:rsidR="000D4733" w:rsidRDefault="005A6CD1">
      <w:pPr>
        <w:spacing w:before="60" w:after="40"/>
      </w:pPr>
      <w:r>
        <w:rPr>
          <w:b/>
          <w:bCs/>
          <w:color w:val="1A1A1A"/>
          <w:sz w:val="18"/>
          <w:szCs w:val="18"/>
        </w:rPr>
        <w:t>4.  The Q4 packaging paradox</w:t>
      </w:r>
    </w:p>
    <w:p w14:paraId="254AB6B9" w14:textId="77777777" w:rsidR="000D4733" w:rsidRDefault="005A6CD1">
      <w:pPr>
        <w:spacing w:after="100"/>
      </w:pPr>
      <w:r>
        <w:rPr>
          <w:color w:val="5F5E5A"/>
          <w:sz w:val="18"/>
          <w:szCs w:val="18"/>
        </w:rPr>
        <w:t xml:space="preserve">Strong agreement to mandate one approach (9/11), no majority for any specific option. Round 3 should test the two leading preferences - fully separate DPP vs. clearly distinct section - </w:t>
      </w:r>
      <w:proofErr w:type="gramStart"/>
      <w:r>
        <w:rPr>
          <w:color w:val="5F5E5A"/>
          <w:sz w:val="18"/>
          <w:szCs w:val="18"/>
        </w:rPr>
        <w:t>head-to-head, and</w:t>
      </w:r>
      <w:proofErr w:type="gramEnd"/>
      <w:r>
        <w:rPr>
          <w:color w:val="5F5E5A"/>
          <w:sz w:val="18"/>
          <w:szCs w:val="18"/>
        </w:rPr>
        <w:t xml:space="preserve"> surface the Round 1 consensus for comparison.</w:t>
      </w:r>
    </w:p>
    <w:p w14:paraId="3E509DCA" w14:textId="77777777" w:rsidR="000D4733" w:rsidRDefault="005A6CD1">
      <w:pPr>
        <w:spacing w:before="60" w:after="40"/>
      </w:pPr>
      <w:r>
        <w:rPr>
          <w:b/>
          <w:bCs/>
          <w:color w:val="1A1A1A"/>
          <w:sz w:val="18"/>
          <w:szCs w:val="18"/>
        </w:rPr>
        <w:t>5.  The Q3.1 policy paradox</w:t>
      </w:r>
    </w:p>
    <w:p w14:paraId="35C22C45" w14:textId="77777777" w:rsidR="000D4733" w:rsidRDefault="005A6CD1">
      <w:pPr>
        <w:spacing w:after="100"/>
      </w:pPr>
      <w:r>
        <w:rPr>
          <w:color w:val="5F5E5A"/>
          <w:sz w:val="18"/>
          <w:szCs w:val="18"/>
        </w:rPr>
        <w:t>9/11 say a recyclability standard should precede mandatory reporting; 6/11 say that standard is unlikely by 2027. The logical implication - that mandatory recyclability reporting is itself implausible by 2027 - should be put directly to the panel in Round 3.</w:t>
      </w:r>
    </w:p>
    <w:p w14:paraId="75291D64" w14:textId="77777777" w:rsidR="000D4733" w:rsidRDefault="005A6CD1">
      <w:pPr>
        <w:spacing w:before="60" w:after="40"/>
      </w:pPr>
      <w:r>
        <w:rPr>
          <w:b/>
          <w:bCs/>
          <w:color w:val="1A1A1A"/>
          <w:sz w:val="18"/>
          <w:szCs w:val="18"/>
        </w:rPr>
        <w:t>6.  Open comments raising conceptual challenges</w:t>
      </w:r>
    </w:p>
    <w:p w14:paraId="45598CB9" w14:textId="77777777" w:rsidR="000D4733" w:rsidRDefault="005A6CD1">
      <w:r>
        <w:rPr>
          <w:color w:val="5F5E5A"/>
          <w:sz w:val="18"/>
          <w:szCs w:val="18"/>
        </w:rPr>
        <w:t>Two substantive positions emerged in open comments. First: the DPP can only provide transparency and data - it cannot itself make recycling happen. Second: EU-only standards fail because non-EU suppliers are not bound by EU regulation; ISO standards are global and already adopted. Both deserve structured consideration in Round 3.</w:t>
      </w:r>
    </w:p>
    <w:sectPr w:rsidR="000D4733">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D89"/>
    <w:multiLevelType w:val="hybridMultilevel"/>
    <w:tmpl w:val="F7564016"/>
    <w:lvl w:ilvl="0" w:tplc="FF2600EA">
      <w:start w:val="1"/>
      <w:numFmt w:val="bullet"/>
      <w:lvlText w:val="●"/>
      <w:lvlJc w:val="left"/>
      <w:pPr>
        <w:ind w:left="720" w:hanging="360"/>
      </w:pPr>
    </w:lvl>
    <w:lvl w:ilvl="1" w:tplc="5E7E6844">
      <w:start w:val="1"/>
      <w:numFmt w:val="bullet"/>
      <w:lvlText w:val="○"/>
      <w:lvlJc w:val="left"/>
      <w:pPr>
        <w:ind w:left="1440" w:hanging="360"/>
      </w:pPr>
    </w:lvl>
    <w:lvl w:ilvl="2" w:tplc="5590F13E">
      <w:start w:val="1"/>
      <w:numFmt w:val="bullet"/>
      <w:lvlText w:val="■"/>
      <w:lvlJc w:val="left"/>
      <w:pPr>
        <w:ind w:left="2160" w:hanging="360"/>
      </w:pPr>
    </w:lvl>
    <w:lvl w:ilvl="3" w:tplc="690C64A6">
      <w:start w:val="1"/>
      <w:numFmt w:val="bullet"/>
      <w:lvlText w:val="●"/>
      <w:lvlJc w:val="left"/>
      <w:pPr>
        <w:ind w:left="2880" w:hanging="360"/>
      </w:pPr>
    </w:lvl>
    <w:lvl w:ilvl="4" w:tplc="A0382662">
      <w:start w:val="1"/>
      <w:numFmt w:val="bullet"/>
      <w:lvlText w:val="○"/>
      <w:lvlJc w:val="left"/>
      <w:pPr>
        <w:ind w:left="3600" w:hanging="360"/>
      </w:pPr>
    </w:lvl>
    <w:lvl w:ilvl="5" w:tplc="BF829A44">
      <w:start w:val="1"/>
      <w:numFmt w:val="bullet"/>
      <w:lvlText w:val="■"/>
      <w:lvlJc w:val="left"/>
      <w:pPr>
        <w:ind w:left="4320" w:hanging="360"/>
      </w:pPr>
    </w:lvl>
    <w:lvl w:ilvl="6" w:tplc="A5343960">
      <w:start w:val="1"/>
      <w:numFmt w:val="bullet"/>
      <w:lvlText w:val="●"/>
      <w:lvlJc w:val="left"/>
      <w:pPr>
        <w:ind w:left="5040" w:hanging="360"/>
      </w:pPr>
    </w:lvl>
    <w:lvl w:ilvl="7" w:tplc="7DD4CCFE">
      <w:start w:val="1"/>
      <w:numFmt w:val="bullet"/>
      <w:lvlText w:val="●"/>
      <w:lvlJc w:val="left"/>
      <w:pPr>
        <w:ind w:left="5760" w:hanging="360"/>
      </w:pPr>
    </w:lvl>
    <w:lvl w:ilvl="8" w:tplc="CE540FCC">
      <w:start w:val="1"/>
      <w:numFmt w:val="bullet"/>
      <w:lvlText w:val="●"/>
      <w:lvlJc w:val="left"/>
      <w:pPr>
        <w:ind w:left="6480" w:hanging="360"/>
      </w:pPr>
    </w:lvl>
  </w:abstractNum>
  <w:num w:numId="1" w16cid:durableId="9675131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33"/>
    <w:rsid w:val="000D4733"/>
    <w:rsid w:val="005A6CD1"/>
    <w:rsid w:val="006C6173"/>
    <w:rsid w:val="00F6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DA279"/>
  <w15:docId w15:val="{0ECA3A68-8F1D-CB43-BDE4-5E171BFB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1934</Words>
  <Characters>10372</Characters>
  <Application>Microsoft Office Word</Application>
  <DocSecurity>0</DocSecurity>
  <Lines>272</Lines>
  <Paragraphs>141</Paragraphs>
  <ScaleCrop>false</ScaleCrop>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Lyske de Bildt</cp:lastModifiedBy>
  <cp:revision>2</cp:revision>
  <dcterms:created xsi:type="dcterms:W3CDTF">2026-06-07T11:50:00Z</dcterms:created>
  <dcterms:modified xsi:type="dcterms:W3CDTF">2026-06-07T11:50:00Z</dcterms:modified>
</cp:coreProperties>
</file>